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6C" w:rsidRPr="00B71104" w:rsidRDefault="00174C6C" w:rsidP="00174C6C">
      <w:pPr>
        <w:ind w:left="11057" w:firstLine="0"/>
        <w:jc w:val="right"/>
        <w:rPr>
          <w:rFonts w:eastAsia="Calibri"/>
          <w:color w:val="000000" w:themeColor="text1"/>
          <w:sz w:val="28"/>
          <w:szCs w:val="28"/>
          <w:lang w:val="ro-RO"/>
        </w:rPr>
      </w:pPr>
      <w:r w:rsidRPr="00B71104">
        <w:rPr>
          <w:rFonts w:eastAsia="Calibri"/>
          <w:color w:val="000000" w:themeColor="text1"/>
          <w:sz w:val="28"/>
          <w:szCs w:val="28"/>
          <w:lang w:val="ro-RO"/>
        </w:rPr>
        <w:t xml:space="preserve">Anexa nr.2 </w:t>
      </w:r>
    </w:p>
    <w:p w:rsidR="00174C6C" w:rsidRPr="00B71104" w:rsidRDefault="00174C6C" w:rsidP="00174C6C">
      <w:pPr>
        <w:jc w:val="right"/>
        <w:rPr>
          <w:rFonts w:eastAsia="Calibri"/>
          <w:color w:val="000000" w:themeColor="text1"/>
          <w:sz w:val="28"/>
          <w:szCs w:val="28"/>
          <w:lang w:val="ro-RO"/>
        </w:rPr>
      </w:pPr>
      <w:r w:rsidRPr="00B71104">
        <w:rPr>
          <w:rFonts w:eastAsia="Calibri"/>
          <w:color w:val="000000" w:themeColor="text1"/>
          <w:sz w:val="28"/>
          <w:szCs w:val="28"/>
          <w:lang w:val="ro-RO"/>
        </w:rPr>
        <w:t>la Hotărîrea Guvernului nr.</w:t>
      </w:r>
      <w:r>
        <w:rPr>
          <w:rFonts w:eastAsia="Calibri"/>
          <w:color w:val="000000" w:themeColor="text1"/>
          <w:sz w:val="28"/>
          <w:szCs w:val="28"/>
          <w:lang w:val="ro-RO"/>
        </w:rPr>
        <w:t>124</w:t>
      </w:r>
    </w:p>
    <w:p w:rsidR="00174C6C" w:rsidRPr="00B71104" w:rsidRDefault="00174C6C" w:rsidP="00174C6C">
      <w:pPr>
        <w:ind w:left="11057" w:firstLine="0"/>
        <w:jc w:val="right"/>
        <w:rPr>
          <w:rFonts w:eastAsia="Calibri"/>
          <w:color w:val="000000" w:themeColor="text1"/>
          <w:sz w:val="28"/>
          <w:szCs w:val="28"/>
          <w:lang w:val="ro-RO"/>
        </w:rPr>
      </w:pPr>
      <w:r w:rsidRPr="00B71104">
        <w:rPr>
          <w:rFonts w:eastAsia="Calibri"/>
          <w:color w:val="000000" w:themeColor="text1"/>
          <w:sz w:val="28"/>
          <w:szCs w:val="28"/>
          <w:lang w:val="ro-RO"/>
        </w:rPr>
        <w:t xml:space="preserve">    din </w:t>
      </w:r>
      <w:r>
        <w:rPr>
          <w:rFonts w:eastAsia="Calibri"/>
          <w:color w:val="000000" w:themeColor="text1"/>
          <w:sz w:val="28"/>
          <w:szCs w:val="28"/>
          <w:lang w:val="ro-RO"/>
        </w:rPr>
        <w:t>2 februarie</w:t>
      </w:r>
      <w:r w:rsidRPr="00B71104">
        <w:rPr>
          <w:rFonts w:eastAsia="Calibri"/>
          <w:color w:val="000000" w:themeColor="text1"/>
          <w:sz w:val="28"/>
          <w:szCs w:val="28"/>
          <w:lang w:val="ro-RO"/>
        </w:rPr>
        <w:t>2018</w:t>
      </w:r>
    </w:p>
    <w:p w:rsidR="00174C6C" w:rsidRPr="00A5692B" w:rsidRDefault="00174C6C" w:rsidP="00174C6C">
      <w:pPr>
        <w:ind w:firstLine="0"/>
        <w:rPr>
          <w:sz w:val="24"/>
          <w:szCs w:val="24"/>
          <w:lang w:val="ro-RO" w:eastAsia="ru-RU"/>
        </w:rPr>
      </w:pPr>
    </w:p>
    <w:p w:rsidR="00174C6C" w:rsidRPr="00A5692B" w:rsidRDefault="00174C6C" w:rsidP="00174C6C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>
        <w:rPr>
          <w:b/>
          <w:bCs/>
          <w:sz w:val="24"/>
          <w:szCs w:val="24"/>
          <w:lang w:val="ro-RO" w:eastAsia="ru-RU"/>
        </w:rPr>
        <w:t>PLAN</w:t>
      </w:r>
      <w:r w:rsidRPr="00A5692B">
        <w:rPr>
          <w:b/>
          <w:bCs/>
          <w:sz w:val="24"/>
          <w:szCs w:val="24"/>
          <w:lang w:val="ro-RO" w:eastAsia="ru-RU"/>
        </w:rPr>
        <w:t xml:space="preserve"> DE ACŢIUNI </w:t>
      </w:r>
    </w:p>
    <w:p w:rsidR="00174C6C" w:rsidRDefault="00174C6C" w:rsidP="00174C6C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991636">
        <w:rPr>
          <w:b/>
          <w:sz w:val="24"/>
          <w:szCs w:val="24"/>
          <w:lang w:val="ro-RO" w:eastAsia="ru-RU"/>
        </w:rPr>
        <w:t xml:space="preserve">pentru implementarea Programului de dezvoltare </w:t>
      </w:r>
    </w:p>
    <w:p w:rsidR="00174C6C" w:rsidRDefault="00174C6C" w:rsidP="00174C6C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991636">
        <w:rPr>
          <w:b/>
          <w:sz w:val="24"/>
          <w:szCs w:val="24"/>
          <w:lang w:val="ro-RO" w:eastAsia="ru-RU"/>
        </w:rPr>
        <w:t>a controlului financiar public intern pentru anii 2018-2020</w:t>
      </w:r>
    </w:p>
    <w:p w:rsidR="00174C6C" w:rsidRPr="00991636" w:rsidRDefault="00174C6C" w:rsidP="00174C6C">
      <w:pPr>
        <w:ind w:firstLine="0"/>
        <w:jc w:val="center"/>
        <w:rPr>
          <w:b/>
          <w:sz w:val="24"/>
          <w:szCs w:val="24"/>
          <w:lang w:val="ro-RO" w:eastAsia="ru-RU"/>
        </w:rPr>
      </w:pPr>
    </w:p>
    <w:tbl>
      <w:tblPr>
        <w:tblW w:w="504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481"/>
        <w:gridCol w:w="1766"/>
        <w:gridCol w:w="4490"/>
        <w:gridCol w:w="2664"/>
      </w:tblGrid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 xml:space="preserve">Nr. 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578" w:type="pct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Denumirea acţiunilor</w:t>
            </w:r>
          </w:p>
        </w:tc>
        <w:tc>
          <w:tcPr>
            <w:tcW w:w="622" w:type="pct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Termen de realizare</w:t>
            </w:r>
          </w:p>
        </w:tc>
        <w:tc>
          <w:tcPr>
            <w:tcW w:w="1581" w:type="pct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Indicatori de rezultat</w:t>
            </w:r>
          </w:p>
        </w:tc>
        <w:tc>
          <w:tcPr>
            <w:tcW w:w="938" w:type="pct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Responsabili de realizare</w:t>
            </w:r>
          </w:p>
        </w:tc>
      </w:tr>
    </w:tbl>
    <w:p w:rsidR="00174C6C" w:rsidRPr="00B71104" w:rsidRDefault="00174C6C" w:rsidP="00174C6C">
      <w:pPr>
        <w:rPr>
          <w:sz w:val="2"/>
          <w:szCs w:val="2"/>
        </w:rPr>
      </w:pPr>
    </w:p>
    <w:tbl>
      <w:tblPr>
        <w:tblW w:w="504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476"/>
        <w:gridCol w:w="1783"/>
        <w:gridCol w:w="4470"/>
        <w:gridCol w:w="2672"/>
      </w:tblGrid>
      <w:tr w:rsidR="00174C6C" w:rsidRPr="00A5692B" w:rsidTr="00410AB6">
        <w:trPr>
          <w:cantSplit/>
          <w:tblHeader/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</w:tr>
      <w:tr w:rsidR="00174C6C" w:rsidRPr="00A5692B" w:rsidTr="00410AB6">
        <w:trPr>
          <w:jc w:val="center"/>
        </w:trPr>
        <w:tc>
          <w:tcPr>
            <w:tcW w:w="5000" w:type="pct"/>
            <w:gridSpan w:val="5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 xml:space="preserve">Obiectivul I. Coordonarea dezvoltării sistemului de 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control financiar public intern</w:t>
            </w: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 xml:space="preserve"> și asigurarea consecvenței cu politicile și programele generale</w:t>
            </w:r>
          </w:p>
        </w:tc>
      </w:tr>
      <w:tr w:rsidR="00174C6C" w:rsidRPr="00A5692B" w:rsidTr="00410AB6">
        <w:trPr>
          <w:trHeight w:val="773"/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Revizuirea rolului, </w:t>
            </w:r>
            <w:r>
              <w:rPr>
                <w:sz w:val="24"/>
                <w:szCs w:val="24"/>
                <w:lang w:val="ro-RO" w:eastAsia="ru-RU"/>
              </w:rPr>
              <w:t xml:space="preserve">a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atribuțiilor și componenței Consiliului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Regulament</w:t>
            </w:r>
            <w:r>
              <w:rPr>
                <w:sz w:val="24"/>
                <w:szCs w:val="24"/>
                <w:lang w:val="ro-RO" w:eastAsia="ru-RU"/>
              </w:rPr>
              <w:t xml:space="preserve"> al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Consiliului </w:t>
            </w:r>
            <w:r>
              <w:rPr>
                <w:sz w:val="24"/>
                <w:szCs w:val="24"/>
                <w:lang w:val="ro-RO" w:eastAsia="ru-RU"/>
              </w:rPr>
              <w:t xml:space="preserve">controlului financiar public intern </w:t>
            </w:r>
            <w:r w:rsidRPr="00A5692B">
              <w:rPr>
                <w:sz w:val="24"/>
                <w:szCs w:val="24"/>
                <w:lang w:val="ro-RO" w:eastAsia="ru-RU"/>
              </w:rPr>
              <w:t>revizuit și aprobat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o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rdin de desemnare a componenței Consiliului </w:t>
            </w:r>
            <w:r>
              <w:rPr>
                <w:sz w:val="24"/>
                <w:szCs w:val="24"/>
                <w:lang w:val="ro-RO" w:eastAsia="ru-RU"/>
              </w:rPr>
              <w:t xml:space="preserve">controlului financiar public intern </w:t>
            </w:r>
            <w:r w:rsidRPr="00A5692B">
              <w:rPr>
                <w:sz w:val="24"/>
                <w:szCs w:val="24"/>
                <w:lang w:val="ro-RO" w:eastAsia="ru-RU"/>
              </w:rPr>
              <w:t>aprobat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Consolidarea impactului si vizibilității Consiliului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 c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onferință în domeniul </w:t>
            </w:r>
            <w:r>
              <w:rPr>
                <w:sz w:val="24"/>
                <w:szCs w:val="24"/>
                <w:lang w:val="ro-RO" w:eastAsia="ru-RU"/>
              </w:rPr>
              <w:t>managementului financiar</w:t>
            </w:r>
            <w:r w:rsidRPr="00A5692B">
              <w:rPr>
                <w:sz w:val="24"/>
                <w:szCs w:val="24"/>
                <w:lang w:val="ro-RO" w:eastAsia="ru-RU"/>
              </w:rPr>
              <w:t>/auditului intern organizată și desfășurată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Permanent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Rezultate ale activităţii Consiliului</w:t>
            </w:r>
            <w:r>
              <w:rPr>
                <w:sz w:val="24"/>
                <w:szCs w:val="24"/>
                <w:lang w:val="ro-RO" w:eastAsia="ru-RU"/>
              </w:rPr>
              <w:t xml:space="preserve"> controlului financiar public intern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publicate pe pagina web a M</w:t>
            </w:r>
            <w:r>
              <w:rPr>
                <w:sz w:val="24"/>
                <w:szCs w:val="24"/>
                <w:lang w:val="ro-RO" w:eastAsia="ru-RU"/>
              </w:rPr>
              <w:t xml:space="preserve">inisterului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D623A0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Actualizarea Legii privind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conform noilor tendințe și </w:t>
            </w:r>
            <w:r>
              <w:rPr>
                <w:sz w:val="24"/>
                <w:szCs w:val="24"/>
                <w:lang w:val="ro-RO" w:eastAsia="ru-RU"/>
              </w:rPr>
              <w:t>pentru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înlăturarea lacunelor identificate în sistemul actual de guvernanță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Modificări și completări la </w:t>
            </w:r>
            <w:r w:rsidRPr="00D623A0">
              <w:rPr>
                <w:sz w:val="24"/>
                <w:szCs w:val="24"/>
                <w:lang w:val="ro-RO" w:eastAsia="ru-RU"/>
              </w:rPr>
              <w:t>Legea nr. 229 din 23 septembrie 2010 privind controlului financiar public intern</w:t>
            </w:r>
            <w:r w:rsidRPr="00A5692B">
              <w:rPr>
                <w:sz w:val="24"/>
                <w:szCs w:val="24"/>
                <w:lang w:val="ro-RO" w:eastAsia="ru-RU"/>
              </w:rPr>
              <w:t>aprobate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2B4CD2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Consolidarea platformei de cooperare și comunicare cu Curtea de Conturi, Cancelaria </w:t>
            </w:r>
            <w:r w:rsidRPr="00A5692B">
              <w:rPr>
                <w:sz w:val="24"/>
                <w:szCs w:val="24"/>
                <w:lang w:val="ro-RO" w:eastAsia="ru-RU"/>
              </w:rPr>
              <w:lastRenderedPageBreak/>
              <w:t xml:space="preserve">de Stat şi alte autorități publice, parteneri de dezvoltare și </w:t>
            </w:r>
            <w:r w:rsidRPr="00F90022">
              <w:rPr>
                <w:sz w:val="24"/>
                <w:szCs w:val="24"/>
                <w:lang w:val="ro-RO" w:eastAsia="ru-RU"/>
              </w:rPr>
              <w:t>proiecte în derulare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Permanent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Mecanism de comunicare elaborat</w:t>
            </w:r>
            <w:r>
              <w:rPr>
                <w:sz w:val="24"/>
                <w:szCs w:val="24"/>
                <w:lang w:val="ro-RO" w:eastAsia="ru-RU"/>
              </w:rPr>
              <w:t xml:space="preserve">;1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seminar de instruire desfășurat anual în comun cu </w:t>
            </w:r>
            <w:r w:rsidRPr="00A5692B">
              <w:rPr>
                <w:sz w:val="24"/>
                <w:szCs w:val="24"/>
                <w:lang w:val="ro-RO" w:eastAsia="ru-RU"/>
              </w:rPr>
              <w:lastRenderedPageBreak/>
              <w:t>Curtea de Conturi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 xml:space="preserve">controlului </w:t>
            </w:r>
            <w:r>
              <w:rPr>
                <w:sz w:val="24"/>
                <w:szCs w:val="24"/>
                <w:lang w:val="ro-RO" w:eastAsia="ru-RU"/>
              </w:rPr>
              <w:lastRenderedPageBreak/>
              <w:t>financiar public intern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5.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Identificarea și introducerea unui mecanism de diseminare a bunelor practici şi schimb de experienţă pentru facilitarea organizării şi dezvoltării sistemului de management financiar şi control şi </w:t>
            </w:r>
            <w:r w:rsidRPr="00F90022">
              <w:rPr>
                <w:sz w:val="24"/>
                <w:szCs w:val="24"/>
                <w:lang w:val="ro-RO" w:eastAsia="ru-RU"/>
              </w:rPr>
              <w:t>funcţiei de audit intern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Permanent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Şedinţe, ateliere de lucru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organizate şi desfăşurate semestrial cu managerii entităţilor publice și </w:t>
            </w:r>
            <w:r>
              <w:rPr>
                <w:sz w:val="24"/>
                <w:szCs w:val="24"/>
                <w:lang w:val="ro-RO" w:eastAsia="ru-RU"/>
              </w:rPr>
              <w:t xml:space="preserve">cu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auditorii interni 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Monitorizarea sistemului de control financiar public intern 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Raport elaborat  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5000" w:type="pct"/>
            <w:gridSpan w:val="5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 xml:space="preserve">Obiectivul II. Dezvoltarea sistemelor curente de 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management financiar și control</w:t>
            </w:r>
          </w:p>
        </w:tc>
      </w:tr>
      <w:tr w:rsidR="00174C6C" w:rsidRPr="00761099" w:rsidTr="00410AB6">
        <w:trPr>
          <w:trHeight w:val="828"/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Organizarea și implementarea unor exerciții pilot de evaluare a sistemelor curente de </w:t>
            </w:r>
            <w:r>
              <w:rPr>
                <w:sz w:val="24"/>
                <w:szCs w:val="24"/>
                <w:lang w:val="ro-RO" w:eastAsia="ru-RU"/>
              </w:rPr>
              <w:t>management financiar și control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în cadrul entităților publice</w:t>
            </w:r>
          </w:p>
        </w:tc>
        <w:tc>
          <w:tcPr>
            <w:tcW w:w="628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Sistemul </w:t>
            </w:r>
            <w:r>
              <w:rPr>
                <w:sz w:val="24"/>
                <w:szCs w:val="24"/>
                <w:lang w:val="ro-RO" w:eastAsia="ru-RU"/>
              </w:rPr>
              <w:t>de management financiar și control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evaluat  în 14 entităţi publice 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90022">
              <w:rPr>
                <w:sz w:val="24"/>
                <w:szCs w:val="24"/>
                <w:lang w:val="ro-RO" w:eastAsia="ru-RU"/>
              </w:rPr>
              <w:t>Ministerele;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Compania Națională de Asigurări în Medicină, 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Casa Națională de Asigurări Sociale,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în colaborare cu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primăriile municipiilor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Chișinău</w:t>
            </w:r>
            <w:r>
              <w:rPr>
                <w:sz w:val="24"/>
                <w:szCs w:val="24"/>
                <w:lang w:val="ro-RO" w:eastAsia="ru-RU"/>
              </w:rPr>
              <w:t xml:space="preserve">, </w:t>
            </w:r>
            <w:r w:rsidRPr="00A5692B">
              <w:rPr>
                <w:sz w:val="24"/>
                <w:szCs w:val="24"/>
                <w:lang w:val="ro-RO" w:eastAsia="ru-RU"/>
              </w:rPr>
              <w:t>Bălți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Cahul</w:t>
            </w:r>
          </w:p>
        </w:tc>
      </w:tr>
      <w:tr w:rsidR="00174C6C" w:rsidRPr="00A5692B" w:rsidTr="00410AB6">
        <w:trPr>
          <w:trHeight w:val="1104"/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14 rapoarte privind funcționalitatea sistemelor proprii de </w:t>
            </w:r>
            <w:r>
              <w:rPr>
                <w:sz w:val="24"/>
                <w:szCs w:val="24"/>
                <w:lang w:val="ro-RO" w:eastAsia="ru-RU"/>
              </w:rPr>
              <w:t>management financiar și control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elaborate 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14 planuri privind consolidarea </w:t>
            </w:r>
            <w:r w:rsidRPr="005F23D1">
              <w:rPr>
                <w:sz w:val="24"/>
                <w:szCs w:val="24"/>
                <w:lang w:val="ro-RO" w:eastAsia="ru-RU"/>
              </w:rPr>
              <w:t>managementului financiar și controlului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elaborate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Consolidarea capacităților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ecretarilor </w:t>
            </w:r>
            <w:r>
              <w:rPr>
                <w:sz w:val="24"/>
                <w:szCs w:val="24"/>
                <w:lang w:val="ro-RO" w:eastAsia="ru-RU"/>
              </w:rPr>
              <w:t>g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enerali de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tat,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ecretarilor de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tat și managerilor din cadrul </w:t>
            </w:r>
            <w:r>
              <w:rPr>
                <w:sz w:val="24"/>
                <w:szCs w:val="24"/>
                <w:lang w:val="ro-RO" w:eastAsia="ru-RU"/>
              </w:rPr>
              <w:t>autorităților administrației publice centrale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, precum și </w:t>
            </w:r>
            <w:r>
              <w:rPr>
                <w:sz w:val="24"/>
                <w:szCs w:val="24"/>
                <w:lang w:val="ro-RO" w:eastAsia="ru-RU"/>
              </w:rPr>
              <w:t>ale autorităților administrației publice locale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de nivelul </w:t>
            </w:r>
            <w:r>
              <w:rPr>
                <w:sz w:val="24"/>
                <w:szCs w:val="24"/>
                <w:lang w:val="ro-RO" w:eastAsia="ru-RU"/>
              </w:rPr>
              <w:t>al doilea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în domeniul managementului financiar și controlului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3 activități de instruire privind </w:t>
            </w:r>
            <w:r>
              <w:rPr>
                <w:sz w:val="24"/>
                <w:szCs w:val="24"/>
                <w:lang w:val="ro-RO" w:eastAsia="ru-RU"/>
              </w:rPr>
              <w:t>managementul financiar și controlul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organizate și desfășurate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</w:tc>
      </w:tr>
      <w:tr w:rsidR="00174C6C" w:rsidRPr="00A5692B" w:rsidTr="00410AB6">
        <w:trPr>
          <w:trHeight w:val="280"/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9.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Revizuirea proceselor operaționale de bază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 s</w:t>
            </w:r>
            <w:r w:rsidRPr="00A5692B">
              <w:rPr>
                <w:sz w:val="24"/>
                <w:szCs w:val="24"/>
                <w:lang w:val="ro-RO" w:eastAsia="ru-RU"/>
              </w:rPr>
              <w:t>eminar de instruire privind documentarea proceselor organizat și desfășurat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61099" w:rsidTr="00410AB6">
        <w:trPr>
          <w:trHeight w:val="1152"/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100% de </w:t>
            </w:r>
            <w:r w:rsidRPr="00A5692B">
              <w:rPr>
                <w:sz w:val="24"/>
                <w:szCs w:val="24"/>
                <w:lang w:val="ro-RO" w:eastAsia="ru-RU"/>
              </w:rPr>
              <w:t>procese de bază identificate, descrise și/sau revizuite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90022">
              <w:rPr>
                <w:sz w:val="24"/>
                <w:szCs w:val="24"/>
                <w:lang w:val="ro-RO" w:eastAsia="ru-RU"/>
              </w:rPr>
              <w:t>Ministerele;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Compania Națională de Asigurări în Medicină, 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Casa Națională de Asigurări Sociale,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în colaborare cu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primăriile municipiilor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Chișinău</w:t>
            </w:r>
            <w:r>
              <w:rPr>
                <w:sz w:val="24"/>
                <w:szCs w:val="24"/>
                <w:lang w:val="ro-RO" w:eastAsia="ru-RU"/>
              </w:rPr>
              <w:t xml:space="preserve">, </w:t>
            </w:r>
            <w:r w:rsidRPr="00A5692B">
              <w:rPr>
                <w:sz w:val="24"/>
                <w:szCs w:val="24"/>
                <w:lang w:val="ro-RO" w:eastAsia="ru-RU"/>
              </w:rPr>
              <w:t>Bălți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Cahul</w:t>
            </w:r>
          </w:p>
        </w:tc>
      </w:tr>
      <w:tr w:rsidR="00174C6C" w:rsidRPr="00A5692B" w:rsidTr="00410AB6">
        <w:trPr>
          <w:trHeight w:val="1202"/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Elaborarea unui model de planificare a performanțelor bazate pe riscuri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 seminar de instruire privind managementul riscurilororganizat și desfășurat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61099" w:rsidTr="00410AB6">
        <w:trPr>
          <w:trHeight w:val="1368"/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Mecanism de planificare funcţional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90022">
              <w:rPr>
                <w:sz w:val="24"/>
                <w:szCs w:val="24"/>
                <w:lang w:val="ro-RO" w:eastAsia="ru-RU"/>
              </w:rPr>
              <w:t>Ministerele;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 xml:space="preserve">Compania Națională de Asigurări în Medicină, 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Casa Națională de Asigurări Sociale,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în colaborare cu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primăriile municipiilor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Chișinău</w:t>
            </w:r>
            <w:r>
              <w:rPr>
                <w:sz w:val="24"/>
                <w:szCs w:val="24"/>
                <w:lang w:val="ro-RO" w:eastAsia="ru-RU"/>
              </w:rPr>
              <w:t xml:space="preserve">, </w:t>
            </w:r>
            <w:r w:rsidRPr="00A5692B">
              <w:rPr>
                <w:sz w:val="24"/>
                <w:szCs w:val="24"/>
                <w:lang w:val="ro-RO" w:eastAsia="ru-RU"/>
              </w:rPr>
              <w:t>Bălți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Cahul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Consolidarea capacităților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>erviciilor financiare în dez</w:t>
            </w:r>
            <w:r>
              <w:rPr>
                <w:sz w:val="24"/>
                <w:szCs w:val="24"/>
                <w:lang w:val="ro-RO" w:eastAsia="ru-RU"/>
              </w:rPr>
              <w:t>voltarea sistemelor curente de management financiar și control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</w:t>
            </w:r>
            <w:r>
              <w:rPr>
                <w:sz w:val="24"/>
                <w:szCs w:val="24"/>
                <w:lang w:val="ro-RO" w:eastAsia="ru-RU"/>
              </w:rPr>
              <w:t xml:space="preserve"> seminar de instruire/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atelier de lucru, organizat şi desfăşurat cu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>erviciile financiare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</w:tc>
      </w:tr>
      <w:tr w:rsidR="00174C6C" w:rsidRPr="00A5692B" w:rsidTr="00410AB6">
        <w:trPr>
          <w:trHeight w:val="112"/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Rețea a specialiștilor practicieni din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>erviciile financiare creată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61099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procese de bază aferente </w:t>
            </w:r>
            <w:r>
              <w:rPr>
                <w:sz w:val="24"/>
                <w:szCs w:val="24"/>
                <w:lang w:val="ro-RO" w:eastAsia="ru-RU"/>
              </w:rPr>
              <w:t>s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erviciului </w:t>
            </w:r>
            <w:r w:rsidRPr="00A5692B">
              <w:rPr>
                <w:sz w:val="24"/>
                <w:szCs w:val="24"/>
                <w:lang w:val="ro-RO" w:eastAsia="ru-RU"/>
              </w:rPr>
              <w:lastRenderedPageBreak/>
              <w:t>financiar documentate și revizuite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F90022">
              <w:rPr>
                <w:sz w:val="24"/>
                <w:szCs w:val="24"/>
                <w:lang w:val="ro-RO" w:eastAsia="ru-RU"/>
              </w:rPr>
              <w:lastRenderedPageBreak/>
              <w:t>Ministerele;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 xml:space="preserve">Compania Națională de Asigurări în Medicină, 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Casa Națională de Asigurări Sociale,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în colaborare cu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primăriile municipiilor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Chișinău</w:t>
            </w:r>
            <w:r>
              <w:rPr>
                <w:sz w:val="24"/>
                <w:szCs w:val="24"/>
                <w:lang w:val="ro-RO" w:eastAsia="ru-RU"/>
              </w:rPr>
              <w:t xml:space="preserve">, </w:t>
            </w:r>
            <w:r w:rsidRPr="00A5692B">
              <w:rPr>
                <w:sz w:val="24"/>
                <w:szCs w:val="24"/>
                <w:lang w:val="ro-RO" w:eastAsia="ru-RU"/>
              </w:rPr>
              <w:t>Bălți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Cahul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12.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Crearea condițiilorde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externalizare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sau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partajare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a serviciilor de economie și finanțe pentru entitățile publice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spacing w:after="160" w:line="259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 exercițiu pilot privind acordarea serviciilor 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externalizate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de economie și finanțe lansat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 exercițiu pilot privind servicii 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partajate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de economie și finanțe lansat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61099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Cadru normativ revizuit și aprobat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ersonal pentru acordarea serviciilor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externalizate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de economie și finanțe identificat şi instruit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13.</w:t>
            </w:r>
          </w:p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Revizuirea sistemului de autoevaluare, raportare a sistemului de </w:t>
            </w:r>
            <w:r>
              <w:rPr>
                <w:sz w:val="24"/>
                <w:szCs w:val="24"/>
                <w:lang w:val="ro-RO" w:eastAsia="ru-RU"/>
              </w:rPr>
              <w:t>management financiar și control, precum ș</w:t>
            </w:r>
            <w:r w:rsidRPr="00A5692B">
              <w:rPr>
                <w:sz w:val="24"/>
                <w:szCs w:val="24"/>
                <w:lang w:val="ro-RO" w:eastAsia="ru-RU"/>
              </w:rPr>
              <w:t>i emiterea declarației privind buna guvernare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Sistem revizuit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 seminar de informare organizat și desfășurat 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Mecanism de monitorizare şi control al emiterii declaraţiei privind buna guvernare elaborat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</w:tc>
      </w:tr>
      <w:tr w:rsidR="00174C6C" w:rsidRPr="00A5692B" w:rsidTr="00410AB6">
        <w:trPr>
          <w:trHeight w:val="333"/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14.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Consolidarea procedurilor de management financiar și control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Regulamentul-cadrude activitate a serviciilor financiare revizuit și aprobat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Manual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de </w:t>
            </w:r>
            <w:r>
              <w:rPr>
                <w:sz w:val="24"/>
                <w:szCs w:val="24"/>
                <w:lang w:val="ro-RO" w:eastAsia="ru-RU"/>
              </w:rPr>
              <w:t>management financiar și control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revizuit și publicat pe pagina web a </w:t>
            </w:r>
            <w:r>
              <w:rPr>
                <w:sz w:val="24"/>
                <w:szCs w:val="24"/>
                <w:lang w:val="ro-RO" w:eastAsia="ru-RU"/>
              </w:rPr>
              <w:t>Ministerului Finanțelor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15.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Procesul de autoevaluare, raportare a sistemului de management financiar şi control, precum şi </w:t>
            </w:r>
            <w:r>
              <w:rPr>
                <w:sz w:val="24"/>
                <w:szCs w:val="24"/>
                <w:lang w:val="ro-RO" w:eastAsia="ru-RU"/>
              </w:rPr>
              <w:t xml:space="preserve">procesul de </w:t>
            </w:r>
            <w:r w:rsidRPr="00A5692B">
              <w:rPr>
                <w:sz w:val="24"/>
                <w:szCs w:val="24"/>
                <w:lang w:val="ro-RO" w:eastAsia="ru-RU"/>
              </w:rPr>
              <w:t>emitere a declaraţiei privind buna guvernare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entități vizate au  elaborat Raportul privind organizarea şi funcţionalitatea sistemului de </w:t>
            </w:r>
            <w:r>
              <w:rPr>
                <w:sz w:val="24"/>
                <w:szCs w:val="24"/>
                <w:lang w:val="ro-RO" w:eastAsia="ru-RU"/>
              </w:rPr>
              <w:t>management financiar și control;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 xml:space="preserve">100 %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entități vizate au emis şi </w:t>
            </w:r>
            <w:r>
              <w:rPr>
                <w:sz w:val="24"/>
                <w:szCs w:val="24"/>
                <w:lang w:val="ro-RO" w:eastAsia="ru-RU"/>
              </w:rPr>
              <w:t xml:space="preserve">au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publicat </w:t>
            </w:r>
            <w:r>
              <w:rPr>
                <w:sz w:val="24"/>
                <w:szCs w:val="24"/>
                <w:lang w:val="ro-RO" w:eastAsia="ru-RU"/>
              </w:rPr>
              <w:t>d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eclaraţia privind buna guvernare 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Entitățile publice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16.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Raportarea activității de audit intern și funcționalității sistemului de management financiar şi control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100 % din </w:t>
            </w:r>
            <w:r>
              <w:rPr>
                <w:sz w:val="24"/>
                <w:szCs w:val="24"/>
                <w:lang w:val="ro-RO" w:eastAsia="ru-RU"/>
              </w:rPr>
              <w:t>subdiviziunile de audit intern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au elaborat și </w:t>
            </w:r>
            <w:r>
              <w:rPr>
                <w:sz w:val="24"/>
                <w:szCs w:val="24"/>
                <w:lang w:val="ro-RO" w:eastAsia="ru-RU"/>
              </w:rPr>
              <w:t xml:space="preserve">au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prezentat </w:t>
            </w:r>
            <w:r>
              <w:rPr>
                <w:sz w:val="24"/>
                <w:szCs w:val="24"/>
                <w:lang w:val="ro-RO" w:eastAsia="ru-RU"/>
              </w:rPr>
              <w:t>r</w:t>
            </w:r>
            <w:r w:rsidRPr="00A5692B">
              <w:rPr>
                <w:sz w:val="24"/>
                <w:szCs w:val="24"/>
                <w:lang w:val="ro-RO" w:eastAsia="ru-RU"/>
              </w:rPr>
              <w:t>aportul de activitate, inclusiv privind funcționalitatea management</w:t>
            </w:r>
            <w:r>
              <w:rPr>
                <w:sz w:val="24"/>
                <w:szCs w:val="24"/>
                <w:lang w:val="ro-RO" w:eastAsia="ru-RU"/>
              </w:rPr>
              <w:t>ului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financiar şi control</w:t>
            </w:r>
            <w:r>
              <w:rPr>
                <w:sz w:val="24"/>
                <w:szCs w:val="24"/>
                <w:lang w:val="ro-RO" w:eastAsia="ru-RU"/>
              </w:rPr>
              <w:t>ului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Subdiviziuni de audit intern</w:t>
            </w:r>
          </w:p>
        </w:tc>
      </w:tr>
      <w:tr w:rsidR="00174C6C" w:rsidRPr="00753CE6" w:rsidTr="00410AB6">
        <w:trPr>
          <w:jc w:val="center"/>
        </w:trPr>
        <w:tc>
          <w:tcPr>
            <w:tcW w:w="5000" w:type="pct"/>
            <w:gridSpan w:val="5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Obiectivul III. Consolidarea funcţiei de audit intern</w:t>
            </w:r>
          </w:p>
        </w:tc>
      </w:tr>
      <w:tr w:rsidR="00174C6C" w:rsidRPr="00A5692B" w:rsidTr="00410AB6">
        <w:trPr>
          <w:trHeight w:val="563"/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17.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Del="001C2250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Consolidarea funcției de audit intern în cadrul ministerelor și clarificarea ariei de </w:t>
            </w:r>
            <w:r>
              <w:rPr>
                <w:sz w:val="24"/>
                <w:szCs w:val="24"/>
                <w:lang w:val="ro-RO" w:eastAsia="ru-RU"/>
              </w:rPr>
              <w:t>a</w:t>
            </w:r>
            <w:r w:rsidRPr="00A5692B">
              <w:rPr>
                <w:sz w:val="24"/>
                <w:szCs w:val="24"/>
                <w:lang w:val="ro-RO" w:eastAsia="ru-RU"/>
              </w:rPr>
              <w:t>plicabilitate</w:t>
            </w:r>
          </w:p>
        </w:tc>
        <w:tc>
          <w:tcPr>
            <w:tcW w:w="628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Cadru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normativ privind organizarea și funcționarea auditului intern revizuit și aprobat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trHeight w:val="684"/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ministere dispun de </w:t>
            </w:r>
            <w:r>
              <w:rPr>
                <w:sz w:val="24"/>
                <w:szCs w:val="24"/>
                <w:lang w:val="ro-RO" w:eastAsia="ru-RU"/>
              </w:rPr>
              <w:t>subdiviziuni de audit intern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suplinite cu personal 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Ministere</w:t>
            </w:r>
            <w:r>
              <w:rPr>
                <w:sz w:val="24"/>
                <w:szCs w:val="24"/>
                <w:lang w:val="ro-RO" w:eastAsia="ru-RU"/>
              </w:rPr>
              <w:t>le</w:t>
            </w: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>de c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onducători </w:t>
            </w:r>
            <w:r>
              <w:rPr>
                <w:sz w:val="24"/>
                <w:szCs w:val="24"/>
                <w:lang w:val="ro-RO" w:eastAsia="ru-RU"/>
              </w:rPr>
              <w:t>ai subdiviziunilor de audit intern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instruiţi 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Permanent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solicitări de consiliere realizate 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Ministerul Finanțelor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18.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Crearea condițiilor de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externalizare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sau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partajare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a serviciilor de audit intern pentru entitățile publice</w:t>
            </w:r>
          </w:p>
          <w:p w:rsidR="00174C6C" w:rsidRPr="00A5692B" w:rsidRDefault="00174C6C" w:rsidP="00410AB6">
            <w:pPr>
              <w:spacing w:after="160" w:line="259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Del="001C2250" w:rsidRDefault="00174C6C" w:rsidP="00410AB6">
            <w:pPr>
              <w:spacing w:after="160" w:line="259" w:lineRule="auto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Cadru normativ privind activitatea de audit intern revizuit și aprobat</w:t>
            </w:r>
            <w:r>
              <w:rPr>
                <w:sz w:val="24"/>
                <w:szCs w:val="24"/>
                <w:lang w:val="ro-RO" w:eastAsia="ru-RU"/>
              </w:rPr>
              <w:t>; 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eglementare privind acordarea serviciilor 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externalizate</w:t>
            </w:r>
            <w:r>
              <w:rPr>
                <w:sz w:val="24"/>
                <w:szCs w:val="24"/>
                <w:lang w:val="ro-RO" w:eastAsia="ru-RU"/>
              </w:rPr>
              <w:t xml:space="preserve"> și</w:t>
            </w:r>
            <w:r w:rsidRPr="00A5692B">
              <w:rPr>
                <w:i/>
                <w:sz w:val="24"/>
                <w:szCs w:val="24"/>
                <w:lang w:val="ro-RO" w:eastAsia="ru-RU"/>
              </w:rPr>
              <w:t>partajate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de audit intern elaborată și aprobată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Continuu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50%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>personal instruit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19.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Del="001C2250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Consolidareaauditului intern din sectorul public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Cerințe minime privind competența auditorilor interni revizuite 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Consiliul </w:t>
            </w:r>
            <w:r>
              <w:rPr>
                <w:sz w:val="24"/>
                <w:szCs w:val="24"/>
                <w:lang w:val="ro-RO" w:eastAsia="ru-RU"/>
              </w:rPr>
              <w:t>controlului financiar public intern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Conducători</w:t>
            </w:r>
            <w:r>
              <w:rPr>
                <w:sz w:val="24"/>
                <w:szCs w:val="24"/>
                <w:lang w:val="ro-RO" w:eastAsia="ru-RU"/>
              </w:rPr>
              <w:t xml:space="preserve"> a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i </w:t>
            </w:r>
            <w:r>
              <w:rPr>
                <w:sz w:val="24"/>
                <w:szCs w:val="24"/>
                <w:lang w:val="ro-RO" w:eastAsia="ru-RU"/>
              </w:rPr>
              <w:t>subdiviziunilor de audit intern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instruiți și certificați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Entităţile publice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Anual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 seminar de mediatizare pentru manageri</w:t>
            </w:r>
            <w:r>
              <w:rPr>
                <w:sz w:val="24"/>
                <w:szCs w:val="24"/>
                <w:lang w:val="ro-RO" w:eastAsia="ru-RU"/>
              </w:rPr>
              <w:t>,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</w:t>
            </w:r>
            <w:r w:rsidRPr="00A5692B">
              <w:rPr>
                <w:sz w:val="24"/>
                <w:szCs w:val="24"/>
                <w:lang w:val="ro-RO" w:eastAsia="ru-RU"/>
              </w:rPr>
              <w:lastRenderedPageBreak/>
              <w:t>aferent rolurilor şi responsa</w:t>
            </w:r>
            <w:r>
              <w:rPr>
                <w:sz w:val="24"/>
                <w:szCs w:val="24"/>
                <w:lang w:val="ro-RO" w:eastAsia="ru-RU"/>
              </w:rPr>
              <w:t>bilităţilor auditorilor interni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organizat și desfășurat 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20.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Del="001C2250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Consolidarea procedurilor de audit intern 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Standarde naționale de audit intern revizuite și aprobate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 xml:space="preserve">inisterul </w:t>
            </w:r>
            <w:r w:rsidRPr="00A5692B">
              <w:rPr>
                <w:sz w:val="24"/>
                <w:szCs w:val="24"/>
                <w:lang w:val="ro-RO" w:eastAsia="ru-RU"/>
              </w:rPr>
              <w:t>F</w:t>
            </w:r>
            <w:r>
              <w:rPr>
                <w:sz w:val="24"/>
                <w:szCs w:val="24"/>
                <w:lang w:val="ro-RO" w:eastAsia="ru-RU"/>
              </w:rPr>
              <w:t>inanțelor</w:t>
            </w: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Metodologia de audit intern revizuită și aprobată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21.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Del="001C2250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Crearea și punerea în aplicare a unui sistem de evaluare a </w:t>
            </w:r>
            <w:r>
              <w:rPr>
                <w:sz w:val="24"/>
                <w:szCs w:val="24"/>
                <w:lang w:val="ro-RO" w:eastAsia="ru-RU"/>
              </w:rPr>
              <w:t>subdiviziunilor de audit intern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din sectorul public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Regulament privind evaluarea externă a activității de audit intern elaborat și aprobat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5 </w:t>
            </w:r>
            <w:r>
              <w:rPr>
                <w:sz w:val="24"/>
                <w:szCs w:val="24"/>
                <w:lang w:val="ro-RO" w:eastAsia="ru-RU"/>
              </w:rPr>
              <w:t>subdiviziuni de audit intern</w:t>
            </w:r>
            <w:r w:rsidRPr="00A5692B">
              <w:rPr>
                <w:sz w:val="24"/>
                <w:szCs w:val="24"/>
                <w:lang w:val="ro-RO" w:eastAsia="ru-RU"/>
              </w:rPr>
              <w:t>evaluate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i/>
                <w:iCs/>
                <w:color w:val="663300"/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5 rapoarte de evaluare a activității de audit intern elaborate pentru </w:t>
            </w:r>
            <w:r>
              <w:rPr>
                <w:sz w:val="24"/>
                <w:szCs w:val="24"/>
                <w:lang w:val="ro-RO" w:eastAsia="ru-RU"/>
              </w:rPr>
              <w:t>subdiviziunile de audit interns</w:t>
            </w:r>
            <w:r w:rsidRPr="00A5692B">
              <w:rPr>
                <w:sz w:val="24"/>
                <w:szCs w:val="24"/>
                <w:lang w:val="ro-RO" w:eastAsia="ru-RU"/>
              </w:rPr>
              <w:t>upuse evaluării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22.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Elaborarea şi punerea în aplicare a programelor de asigurare şi îmbunătăţire a calităţii activităţii de audit intern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Program  elaborat/revizuit şi aprobat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Entitățile publice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subdiviziunile de audit intern</w:t>
            </w: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>evaluări interne a activității de audit intern realizate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5000" w:type="pct"/>
            <w:gridSpan w:val="5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Obiectivul IV. Fortificarea profesiilor din domeniul managementului finanţelor publice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23.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Revizuirea și punerea în aplicare a sistemului de instruire şi dezvoltare profesională continuă a auditorilor interni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Program de dezvoltare profesională continuă a auditorilor interni revizuit și pus în aplicare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</w:t>
            </w:r>
            <w:r w:rsidRPr="00A5692B">
              <w:rPr>
                <w:sz w:val="24"/>
                <w:szCs w:val="24"/>
                <w:lang w:val="ro-RO" w:eastAsia="ru-RU"/>
              </w:rPr>
              <w:t>ateriale de instruire şi cu</w:t>
            </w:r>
            <w:r>
              <w:rPr>
                <w:sz w:val="24"/>
                <w:szCs w:val="24"/>
                <w:lang w:val="ro-RO" w:eastAsia="ru-RU"/>
              </w:rPr>
              <w:t>r</w:t>
            </w:r>
            <w:r w:rsidRPr="00A5692B">
              <w:rPr>
                <w:sz w:val="24"/>
                <w:szCs w:val="24"/>
                <w:lang w:val="ro-RO" w:eastAsia="ru-RU"/>
              </w:rPr>
              <w:t>ricul</w:t>
            </w:r>
            <w:r>
              <w:rPr>
                <w:sz w:val="24"/>
                <w:szCs w:val="24"/>
                <w:lang w:val="ro-RO" w:eastAsia="ru-RU"/>
              </w:rPr>
              <w:t>um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elaborate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10 formatori identificați și instruiți</w:t>
            </w:r>
            <w:r>
              <w:rPr>
                <w:sz w:val="24"/>
                <w:szCs w:val="24"/>
                <w:lang w:val="ro-RO" w:eastAsia="ru-RU"/>
              </w:rPr>
              <w:t xml:space="preserve">; 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20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>auditori interni instruiți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Del="00DB4C35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24.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Perfecționarea actualului sistem de certificare profesională a auditorilor interni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Regulament de certificare a auditorilor interni din sectorul public revizuit și aprobat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20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>auditori interni certi</w:t>
            </w:r>
            <w:r>
              <w:rPr>
                <w:sz w:val="24"/>
                <w:szCs w:val="24"/>
                <w:lang w:val="ro-RO" w:eastAsia="ru-RU"/>
              </w:rPr>
              <w:t>ficați în baza noilor prevederi/</w:t>
            </w:r>
            <w:r w:rsidRPr="00A5692B">
              <w:rPr>
                <w:sz w:val="24"/>
                <w:szCs w:val="24"/>
                <w:lang w:val="ro-RO" w:eastAsia="ru-RU"/>
              </w:rPr>
              <w:t>cerințe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25.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Crearea și punerea în aplicare a unui sistem </w:t>
            </w:r>
            <w:r w:rsidRPr="00A5692B">
              <w:rPr>
                <w:sz w:val="24"/>
                <w:szCs w:val="24"/>
                <w:lang w:val="ro-RO" w:eastAsia="ru-RU"/>
              </w:rPr>
              <w:lastRenderedPageBreak/>
              <w:t>solid de instruire şi dezvoltare profesională continuă a specialiştilor în economie şi finanţe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Program de dezvoltare profesională continuă </w:t>
            </w:r>
            <w:r w:rsidRPr="00A5692B">
              <w:rPr>
                <w:sz w:val="24"/>
                <w:szCs w:val="24"/>
                <w:lang w:val="ro-RO" w:eastAsia="ru-RU"/>
              </w:rPr>
              <w:lastRenderedPageBreak/>
              <w:t>a specialiştilor în economie şi finanţe elaborat și pus în aplicare</w:t>
            </w:r>
            <w:r>
              <w:rPr>
                <w:sz w:val="24"/>
                <w:szCs w:val="24"/>
                <w:lang w:val="ro-RO" w:eastAsia="ru-RU"/>
              </w:rPr>
              <w:t>; m</w:t>
            </w:r>
            <w:r w:rsidRPr="00A5692B">
              <w:rPr>
                <w:sz w:val="24"/>
                <w:szCs w:val="24"/>
                <w:lang w:val="ro-RO" w:eastAsia="ru-RU"/>
              </w:rPr>
              <w:t>ateriale de instruire şi cur</w:t>
            </w:r>
            <w:r>
              <w:rPr>
                <w:sz w:val="24"/>
                <w:szCs w:val="24"/>
                <w:lang w:val="ro-RO" w:eastAsia="ru-RU"/>
              </w:rPr>
              <w:t xml:space="preserve">riculum elaborate; </w:t>
            </w:r>
            <w:r w:rsidRPr="00A5692B">
              <w:rPr>
                <w:sz w:val="24"/>
                <w:szCs w:val="24"/>
                <w:lang w:val="ro-RO" w:eastAsia="ru-RU"/>
              </w:rPr>
              <w:t>10 formatori identificați și instruiți</w:t>
            </w:r>
            <w:r>
              <w:rPr>
                <w:sz w:val="24"/>
                <w:szCs w:val="24"/>
                <w:lang w:val="ro-RO" w:eastAsia="ru-RU"/>
              </w:rPr>
              <w:t xml:space="preserve">;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30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>specialişti în</w:t>
            </w:r>
            <w:r>
              <w:rPr>
                <w:sz w:val="24"/>
                <w:szCs w:val="24"/>
                <w:lang w:val="ro-RO" w:eastAsia="ru-RU"/>
              </w:rPr>
              <w:t xml:space="preserve"> domeniul economiei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şi finanţe</w:t>
            </w:r>
            <w:r>
              <w:rPr>
                <w:sz w:val="24"/>
                <w:szCs w:val="24"/>
                <w:lang w:val="ro-RO" w:eastAsia="ru-RU"/>
              </w:rPr>
              <w:t>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instruiți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Del="00DB4C35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26.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Elaborarea şi punerea în aplicare a unui Program de certificare profesională a specialiştilor în </w:t>
            </w:r>
            <w:r>
              <w:rPr>
                <w:sz w:val="24"/>
                <w:szCs w:val="24"/>
                <w:lang w:val="ro-RO" w:eastAsia="ru-RU"/>
              </w:rPr>
              <w:t xml:space="preserve">domeniul </w:t>
            </w:r>
            <w:r w:rsidRPr="00A5692B">
              <w:rPr>
                <w:sz w:val="24"/>
                <w:szCs w:val="24"/>
                <w:lang w:val="ro-RO" w:eastAsia="ru-RU"/>
              </w:rPr>
              <w:t>finanţe</w:t>
            </w:r>
            <w:r>
              <w:rPr>
                <w:sz w:val="24"/>
                <w:szCs w:val="24"/>
                <w:lang w:val="ro-RO" w:eastAsia="ru-RU"/>
              </w:rPr>
              <w:t>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şi economie</w:t>
            </w:r>
            <w:r>
              <w:rPr>
                <w:sz w:val="24"/>
                <w:szCs w:val="24"/>
                <w:lang w:val="ro-RO" w:eastAsia="ru-RU"/>
              </w:rPr>
              <w:t>i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Reglementare de certificare profesională a specialiştilor în </w:t>
            </w:r>
            <w:r>
              <w:rPr>
                <w:sz w:val="24"/>
                <w:szCs w:val="24"/>
                <w:lang w:val="ro-RO" w:eastAsia="ru-RU"/>
              </w:rPr>
              <w:t xml:space="preserve">domeniul </w:t>
            </w:r>
            <w:r w:rsidRPr="00A5692B">
              <w:rPr>
                <w:sz w:val="24"/>
                <w:szCs w:val="24"/>
                <w:lang w:val="ro-RO" w:eastAsia="ru-RU"/>
              </w:rPr>
              <w:t>finanţe</w:t>
            </w:r>
            <w:r>
              <w:rPr>
                <w:sz w:val="24"/>
                <w:szCs w:val="24"/>
                <w:lang w:val="ro-RO" w:eastAsia="ru-RU"/>
              </w:rPr>
              <w:t>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şi economie</w:t>
            </w:r>
            <w:r>
              <w:rPr>
                <w:sz w:val="24"/>
                <w:szCs w:val="24"/>
                <w:lang w:val="ro-RO" w:eastAsia="ru-RU"/>
              </w:rPr>
              <w:t>i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elaborată și aprobată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30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specialişti în </w:t>
            </w:r>
            <w:r>
              <w:rPr>
                <w:sz w:val="24"/>
                <w:szCs w:val="24"/>
                <w:lang w:val="ro-RO" w:eastAsia="ru-RU"/>
              </w:rPr>
              <w:t xml:space="preserve">domeniul </w:t>
            </w:r>
            <w:r w:rsidRPr="00A5692B">
              <w:rPr>
                <w:sz w:val="24"/>
                <w:szCs w:val="24"/>
                <w:lang w:val="ro-RO" w:eastAsia="ru-RU"/>
              </w:rPr>
              <w:t>finanţe</w:t>
            </w:r>
            <w:r>
              <w:rPr>
                <w:sz w:val="24"/>
                <w:szCs w:val="24"/>
                <w:lang w:val="ro-RO" w:eastAsia="ru-RU"/>
              </w:rPr>
              <w:t>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şi economie</w:t>
            </w:r>
            <w:r>
              <w:rPr>
                <w:sz w:val="24"/>
                <w:szCs w:val="24"/>
                <w:lang w:val="ro-RO" w:eastAsia="ru-RU"/>
              </w:rPr>
              <w:t>i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certificați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27.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Crearea și punerea în aplicare a unui sistem solid de instruire şi dezvoltare profesională continuă a specialiştilor în achiziţii publice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Program de dezvoltare profesională continuă a specialiştilor în achiziţii publice elaborat și pus în aplicare</w:t>
            </w:r>
            <w:r>
              <w:rPr>
                <w:sz w:val="24"/>
                <w:szCs w:val="24"/>
                <w:lang w:val="ro-RO" w:eastAsia="ru-RU"/>
              </w:rPr>
              <w:t>; m</w:t>
            </w:r>
            <w:r w:rsidRPr="00A5692B">
              <w:rPr>
                <w:sz w:val="24"/>
                <w:szCs w:val="24"/>
                <w:lang w:val="ro-RO" w:eastAsia="ru-RU"/>
              </w:rPr>
              <w:t>ateriale de instruire şi cur</w:t>
            </w:r>
            <w:r>
              <w:rPr>
                <w:sz w:val="24"/>
                <w:szCs w:val="24"/>
                <w:lang w:val="ro-RO" w:eastAsia="ru-RU"/>
              </w:rPr>
              <w:t>r</w:t>
            </w:r>
            <w:r w:rsidRPr="00A5692B">
              <w:rPr>
                <w:sz w:val="24"/>
                <w:szCs w:val="24"/>
                <w:lang w:val="ro-RO" w:eastAsia="ru-RU"/>
              </w:rPr>
              <w:t>icul</w:t>
            </w:r>
            <w:r>
              <w:rPr>
                <w:sz w:val="24"/>
                <w:szCs w:val="24"/>
                <w:lang w:val="ro-RO" w:eastAsia="ru-RU"/>
              </w:rPr>
              <w:t>um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elaborate</w:t>
            </w:r>
            <w:r>
              <w:rPr>
                <w:sz w:val="24"/>
                <w:szCs w:val="24"/>
                <w:lang w:val="ro-RO" w:eastAsia="ru-RU"/>
              </w:rPr>
              <w:t xml:space="preserve">; </w:t>
            </w:r>
            <w:r w:rsidRPr="00A5692B">
              <w:rPr>
                <w:sz w:val="24"/>
                <w:szCs w:val="24"/>
                <w:lang w:val="ro-RO" w:eastAsia="ru-RU"/>
              </w:rPr>
              <w:t>10 formatori identificați și instruiți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20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specialişti în </w:t>
            </w:r>
            <w:r>
              <w:rPr>
                <w:sz w:val="24"/>
                <w:szCs w:val="24"/>
                <w:lang w:val="ro-RO" w:eastAsia="ru-RU"/>
              </w:rPr>
              <w:t xml:space="preserve">domeniul </w:t>
            </w:r>
            <w:r w:rsidRPr="00A5692B">
              <w:rPr>
                <w:sz w:val="24"/>
                <w:szCs w:val="24"/>
                <w:lang w:val="ro-RO" w:eastAsia="ru-RU"/>
              </w:rPr>
              <w:t>achiziţii</w:t>
            </w:r>
            <w:r>
              <w:rPr>
                <w:sz w:val="24"/>
                <w:szCs w:val="24"/>
                <w:lang w:val="ro-RO" w:eastAsia="ru-RU"/>
              </w:rPr>
              <w:t>lor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publice instruiți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Finanțelor;</w:t>
            </w:r>
          </w:p>
          <w:p w:rsidR="00174C6C" w:rsidRPr="00A5692B" w:rsidDel="00DB4C35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Agenţia Achiziţii Publice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28.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Elaborarea şi punerea în aplicare a unui Program de certificare profesională a specialiştilor în domeniul achiziţiilor publice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Reglementare de certificare profesională a specialiştilor în domeniul achiziţiilor publice elaborată și aprobată</w:t>
            </w:r>
          </w:p>
        </w:tc>
        <w:tc>
          <w:tcPr>
            <w:tcW w:w="94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Agenţia Achiziţii Publice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2020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20 </w:t>
            </w:r>
            <w:r>
              <w:rPr>
                <w:sz w:val="24"/>
                <w:szCs w:val="24"/>
                <w:lang w:val="ro-RO" w:eastAsia="ru-RU"/>
              </w:rPr>
              <w:t xml:space="preserve">de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specialişti în domeniul achiziţiilor publice certificați </w:t>
            </w:r>
          </w:p>
        </w:tc>
        <w:tc>
          <w:tcPr>
            <w:tcW w:w="94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753CE6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29.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Consolidarea relaţiei cu mediu</w:t>
            </w:r>
            <w:r>
              <w:rPr>
                <w:sz w:val="24"/>
                <w:szCs w:val="24"/>
                <w:lang w:val="ro-RO" w:eastAsia="ru-RU"/>
              </w:rPr>
              <w:t>l academic în scopul includerii/</w:t>
            </w:r>
            <w:r w:rsidRPr="00A5692B">
              <w:rPr>
                <w:sz w:val="24"/>
                <w:szCs w:val="24"/>
                <w:lang w:val="ro-RO" w:eastAsia="ru-RU"/>
              </w:rPr>
              <w:t>dezvoltării modulelor şi programelor de instruire pentru specialiştii implicați în managementul financiar public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Permanent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1 ședinţă de lucru cu rep</w:t>
            </w:r>
            <w:r>
              <w:rPr>
                <w:sz w:val="24"/>
                <w:szCs w:val="24"/>
                <w:lang w:val="ro-RO" w:eastAsia="ru-RU"/>
              </w:rPr>
              <w:t>rezentanţi ai mediului academic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organizată și desfășurată anual</w:t>
            </w:r>
            <w:r>
              <w:rPr>
                <w:sz w:val="24"/>
                <w:szCs w:val="24"/>
                <w:lang w:val="ro-RO" w:eastAsia="ru-RU"/>
              </w:rPr>
              <w:t>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m</w:t>
            </w:r>
            <w:r w:rsidRPr="00A5692B">
              <w:rPr>
                <w:sz w:val="24"/>
                <w:szCs w:val="24"/>
                <w:lang w:val="ro-RO" w:eastAsia="ru-RU"/>
              </w:rPr>
              <w:t>ediul academic implicat în programele de dezvoltare profesională continuă a specialiştilor în managementul finanţelor publice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i</w:t>
            </w:r>
            <w:r w:rsidRPr="00A5692B">
              <w:rPr>
                <w:sz w:val="24"/>
                <w:szCs w:val="24"/>
                <w:lang w:val="ro-RO" w:eastAsia="ru-RU"/>
              </w:rPr>
              <w:t>nstituţii de învăţăm</w:t>
            </w:r>
            <w:r>
              <w:rPr>
                <w:sz w:val="24"/>
                <w:szCs w:val="24"/>
                <w:lang w:val="ro-RO" w:eastAsia="ru-RU"/>
              </w:rPr>
              <w:t>î</w:t>
            </w:r>
            <w:r w:rsidRPr="00A5692B">
              <w:rPr>
                <w:sz w:val="24"/>
                <w:szCs w:val="24"/>
                <w:lang w:val="ro-RO" w:eastAsia="ru-RU"/>
              </w:rPr>
              <w:t>nt superior şi instituții specializate de învățăm</w:t>
            </w:r>
            <w:r>
              <w:rPr>
                <w:sz w:val="24"/>
                <w:szCs w:val="24"/>
                <w:lang w:val="ro-RO" w:eastAsia="ru-RU"/>
              </w:rPr>
              <w:t>î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nt de formare continuă 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lastRenderedPageBreak/>
              <w:t>30.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Elaborarea unui sistem de motivare financiară și non-financiară a specialiștilor din domeniul  managementului finanțelor publice, inclusiv auditorilor interni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Sistem de motivare elaborat 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5000" w:type="pct"/>
            <w:gridSpan w:val="5"/>
            <w:tcMar>
              <w:top w:w="15" w:type="dxa"/>
              <w:left w:w="56" w:type="dxa"/>
              <w:bottom w:w="15" w:type="dxa"/>
              <w:right w:w="56" w:type="dxa"/>
            </w:tcMar>
            <w:hideMark/>
          </w:tcPr>
          <w:p w:rsidR="00174C6C" w:rsidRPr="00A5692B" w:rsidRDefault="00174C6C" w:rsidP="00410AB6">
            <w:pPr>
              <w:ind w:firstLine="0"/>
              <w:jc w:val="left"/>
              <w:rPr>
                <w:b/>
                <w:bCs/>
                <w:sz w:val="24"/>
                <w:szCs w:val="24"/>
                <w:lang w:val="ro-RO" w:eastAsia="ru-RU"/>
              </w:rPr>
            </w:pP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 xml:space="preserve">Obiectivul V. Clarificarea rolului Inspecției 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f</w:t>
            </w:r>
            <w:r w:rsidRPr="00A5692B">
              <w:rPr>
                <w:b/>
                <w:bCs/>
                <w:sz w:val="24"/>
                <w:szCs w:val="24"/>
                <w:lang w:val="ro-RO" w:eastAsia="ru-RU"/>
              </w:rPr>
              <w:t>inanciare</w:t>
            </w: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31.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Clarificare</w:t>
            </w:r>
            <w:r>
              <w:rPr>
                <w:sz w:val="24"/>
                <w:szCs w:val="24"/>
                <w:lang w:val="ro-RO" w:eastAsia="ru-RU"/>
              </w:rPr>
              <w:t xml:space="preserve">a rolului și a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atribuțiilor Inspecției </w:t>
            </w:r>
            <w:r>
              <w:rPr>
                <w:sz w:val="24"/>
                <w:szCs w:val="24"/>
                <w:lang w:val="ro-RO" w:eastAsia="ru-RU"/>
              </w:rPr>
              <w:t>f</w:t>
            </w:r>
            <w:r w:rsidRPr="00A5692B">
              <w:rPr>
                <w:sz w:val="24"/>
                <w:szCs w:val="24"/>
                <w:lang w:val="ro-RO" w:eastAsia="ru-RU"/>
              </w:rPr>
              <w:t>inanciareconform recomandărilor partenerilor de dezvoltare și bunelor practici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Cadru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normativ revizuit şi aprobat</w:t>
            </w:r>
            <w:r>
              <w:rPr>
                <w:sz w:val="24"/>
                <w:szCs w:val="24"/>
                <w:lang w:val="ro-RO" w:eastAsia="ru-RU"/>
              </w:rPr>
              <w:t>; r</w:t>
            </w:r>
            <w:r w:rsidRPr="00A5692B">
              <w:rPr>
                <w:sz w:val="24"/>
                <w:szCs w:val="24"/>
                <w:lang w:val="ro-RO" w:eastAsia="ru-RU"/>
              </w:rPr>
              <w:t>eglementare de organizare şi funcționare revizuită și aprobată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trHeight w:val="378"/>
          <w:jc w:val="center"/>
        </w:trPr>
        <w:tc>
          <w:tcPr>
            <w:tcW w:w="281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32.</w:t>
            </w:r>
          </w:p>
        </w:tc>
        <w:tc>
          <w:tcPr>
            <w:tcW w:w="1576" w:type="pct"/>
            <w:vMerge w:val="restar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Crearea capacităților pentru efectuarea </w:t>
            </w:r>
            <w:r w:rsidRPr="00F90022">
              <w:rPr>
                <w:sz w:val="24"/>
                <w:szCs w:val="24"/>
                <w:lang w:val="ro-RO" w:eastAsia="ru-RU"/>
              </w:rPr>
              <w:t>auditului sectorial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 de interes național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 xml:space="preserve"> de </w:t>
            </w:r>
            <w:r w:rsidRPr="00A5692B">
              <w:rPr>
                <w:sz w:val="24"/>
                <w:szCs w:val="24"/>
                <w:lang w:val="ro-RO" w:eastAsia="ru-RU"/>
              </w:rPr>
              <w:t>personal instruit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Del="00DB4C35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trHeight w:val="654"/>
          <w:jc w:val="center"/>
        </w:trPr>
        <w:tc>
          <w:tcPr>
            <w:tcW w:w="281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576" w:type="pct"/>
            <w:vMerge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2019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Plan strategic elaborat și aprobat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</w:t>
            </w:r>
          </w:p>
          <w:p w:rsidR="00174C6C" w:rsidRPr="00A5692B" w:rsidDel="00DB4C35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174C6C" w:rsidRPr="00A5692B" w:rsidTr="00410AB6">
        <w:trPr>
          <w:jc w:val="center"/>
        </w:trPr>
        <w:tc>
          <w:tcPr>
            <w:tcW w:w="28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33.</w:t>
            </w:r>
          </w:p>
        </w:tc>
        <w:tc>
          <w:tcPr>
            <w:tcW w:w="1576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Consolidarea capacităţii de investigare financiară ulterior transferării responsabilităților către organele de drept</w:t>
            </w:r>
          </w:p>
        </w:tc>
        <w:tc>
          <w:tcPr>
            <w:tcW w:w="628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2018</w:t>
            </w:r>
          </w:p>
        </w:tc>
        <w:tc>
          <w:tcPr>
            <w:tcW w:w="1574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Raport de evaluare a necesarului de instruire elaborat</w:t>
            </w:r>
            <w:r>
              <w:rPr>
                <w:sz w:val="24"/>
                <w:szCs w:val="24"/>
                <w:lang w:val="ro-RO" w:eastAsia="ru-RU"/>
              </w:rPr>
              <w:t xml:space="preserve">; </w:t>
            </w:r>
            <w:r w:rsidRPr="00A5692B">
              <w:rPr>
                <w:sz w:val="24"/>
                <w:szCs w:val="24"/>
                <w:lang w:val="ro-RO" w:eastAsia="ru-RU"/>
              </w:rPr>
              <w:t xml:space="preserve">100% </w:t>
            </w:r>
            <w:r>
              <w:rPr>
                <w:sz w:val="24"/>
                <w:szCs w:val="24"/>
                <w:lang w:val="ro-RO" w:eastAsia="ru-RU"/>
              </w:rPr>
              <w:t xml:space="preserve"> de </w:t>
            </w:r>
            <w:r w:rsidRPr="00A5692B">
              <w:rPr>
                <w:sz w:val="24"/>
                <w:szCs w:val="24"/>
                <w:lang w:val="ro-RO" w:eastAsia="ru-RU"/>
              </w:rPr>
              <w:t>personal de investigare financiară transferat, instruit</w:t>
            </w:r>
          </w:p>
        </w:tc>
        <w:tc>
          <w:tcPr>
            <w:tcW w:w="941" w:type="pct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</w:t>
            </w:r>
            <w:r>
              <w:rPr>
                <w:sz w:val="24"/>
                <w:szCs w:val="24"/>
                <w:lang w:val="ro-RO" w:eastAsia="ru-RU"/>
              </w:rPr>
              <w:t>inisterul Finanțelor;</w:t>
            </w:r>
          </w:p>
          <w:p w:rsidR="00174C6C" w:rsidRPr="00A5692B" w:rsidRDefault="00174C6C" w:rsidP="00410AB6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A5692B">
              <w:rPr>
                <w:sz w:val="24"/>
                <w:szCs w:val="24"/>
                <w:lang w:val="ro-RO" w:eastAsia="ru-RU"/>
              </w:rPr>
              <w:t>Ministerul Justiției</w:t>
            </w:r>
          </w:p>
        </w:tc>
      </w:tr>
    </w:tbl>
    <w:p w:rsidR="00FB06EE" w:rsidRDefault="00FB06EE"/>
    <w:sectPr w:rsidR="00FB06EE" w:rsidSect="00174C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C6C"/>
    <w:rsid w:val="00174C6C"/>
    <w:rsid w:val="00FB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2018-02-12T07:11:00Z</dcterms:created>
  <dcterms:modified xsi:type="dcterms:W3CDTF">2018-02-12T07:12:00Z</dcterms:modified>
</cp:coreProperties>
</file>