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Приложение № 10</w:t>
      </w:r>
    </w:p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к Приказу министрафинансов</w:t>
      </w:r>
    </w:p>
    <w:p w:rsidR="00D90B86" w:rsidRPr="0049409F" w:rsidRDefault="00D90B86" w:rsidP="000A21B2">
      <w:pPr>
        <w:tabs>
          <w:tab w:val="left" w:pos="0"/>
        </w:tabs>
        <w:ind w:left="5387" w:firstLine="6"/>
        <w:jc w:val="right"/>
      </w:pPr>
      <w:r w:rsidRPr="0049409F">
        <w:t>№ 208 от 24декабря 2015 года</w:t>
      </w:r>
    </w:p>
    <w:p w:rsidR="00D90B86" w:rsidRPr="0049409F" w:rsidRDefault="00D90B86" w:rsidP="000A21B2">
      <w:pPr>
        <w:jc w:val="both"/>
        <w:rPr>
          <w:b/>
          <w:lang w:val="ro-RO"/>
        </w:rPr>
      </w:pPr>
    </w:p>
    <w:p w:rsidR="00D90B86" w:rsidRPr="0049409F" w:rsidRDefault="00D90B86" w:rsidP="000A21B2">
      <w:pPr>
        <w:jc w:val="center"/>
        <w:rPr>
          <w:b/>
          <w:lang w:val="ro-RO"/>
        </w:rPr>
      </w:pPr>
    </w:p>
    <w:p w:rsidR="00D90B86" w:rsidRPr="0049409F" w:rsidRDefault="00D90B86" w:rsidP="000A21B2">
      <w:pPr>
        <w:jc w:val="center"/>
        <w:rPr>
          <w:b/>
          <w:lang w:val="ro-RO"/>
        </w:rPr>
      </w:pPr>
      <w:r w:rsidRPr="0049409F">
        <w:rPr>
          <w:b/>
        </w:rPr>
        <w:t>Классификация источников</w:t>
      </w:r>
    </w:p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360"/>
        </w:tabs>
        <w:spacing w:after="120"/>
        <w:ind w:left="90" w:firstLine="0"/>
        <w:jc w:val="both"/>
      </w:pPr>
      <w:r w:rsidRPr="0049409F">
        <w:t xml:space="preserve">Классификация источников предназначенадля классификации средств национального публичного бюджета по уровням бюджета, компонентам и происхождение источника.    </w:t>
      </w:r>
    </w:p>
    <w:p w:rsidR="00D90B86" w:rsidRPr="0049409F" w:rsidRDefault="00D90B86" w:rsidP="000A21B2">
      <w:pPr>
        <w:numPr>
          <w:ilvl w:val="0"/>
          <w:numId w:val="1"/>
        </w:numPr>
        <w:tabs>
          <w:tab w:val="left" w:pos="360"/>
        </w:tabs>
        <w:ind w:left="90" w:firstLine="0"/>
        <w:jc w:val="both"/>
      </w:pPr>
      <w:r w:rsidRPr="0049409F">
        <w:t>Классификация источников состоит из трех самостоятельных регистра, каждый по два уровня бюджета, и имеет следующую структуру:</w:t>
      </w:r>
    </w:p>
    <w:p w:rsidR="00D90B86" w:rsidRPr="0049409F" w:rsidRDefault="00D90B86" w:rsidP="000A21B2">
      <w:pPr>
        <w:tabs>
          <w:tab w:val="left" w:pos="360"/>
        </w:tabs>
        <w:jc w:val="both"/>
      </w:pPr>
    </w:p>
    <w:p w:rsidR="00D90B86" w:rsidRPr="0049409F" w:rsidRDefault="0008168B" w:rsidP="000A21B2">
      <w:pPr>
        <w:tabs>
          <w:tab w:val="left" w:pos="360"/>
        </w:tabs>
        <w:spacing w:after="12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5" type="#_x0000_t75" style="width:469.35pt;height:207.85pt;visibility:visible">
            <v:imagedata r:id="rId7" o:title=""/>
          </v:shape>
        </w:pict>
      </w:r>
    </w:p>
    <w:p w:rsidR="00D90B86" w:rsidRPr="0049409F" w:rsidRDefault="00D90B86" w:rsidP="000A21B2">
      <w:pPr>
        <w:tabs>
          <w:tab w:val="left" w:pos="360"/>
        </w:tabs>
        <w:jc w:val="both"/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9409F">
        <w:t>Уровни S1 и S2, S3 и S4, а также S5 и S6 взаимосвязаны и используются в сочетании.</w:t>
      </w:r>
    </w:p>
    <w:p w:rsidR="00D90B86" w:rsidRPr="0049409F" w:rsidRDefault="00D90B86" w:rsidP="000A21B2">
      <w:pPr>
        <w:tabs>
          <w:tab w:val="left" w:pos="284"/>
        </w:tabs>
        <w:jc w:val="both"/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ro-RO"/>
        </w:rPr>
      </w:pPr>
      <w:r w:rsidRPr="0049409F">
        <w:t>Региструровнейбюджетов</w:t>
      </w:r>
      <w:r w:rsidRPr="0049409F">
        <w:rPr>
          <w:lang w:val="ro-RO"/>
        </w:rPr>
        <w:t>:</w:t>
      </w:r>
    </w:p>
    <w:p w:rsidR="00D90B86" w:rsidRPr="0049409F" w:rsidRDefault="00D90B86" w:rsidP="000A21B2">
      <w:pPr>
        <w:tabs>
          <w:tab w:val="left" w:pos="284"/>
        </w:tabs>
        <w:jc w:val="both"/>
      </w:pPr>
    </w:p>
    <w:tbl>
      <w:tblPr>
        <w:tblW w:w="8916" w:type="dxa"/>
        <w:jc w:val="center"/>
        <w:tblLook w:val="0000"/>
      </w:tblPr>
      <w:tblGrid>
        <w:gridCol w:w="1164"/>
        <w:gridCol w:w="1450"/>
        <w:gridCol w:w="6508"/>
      </w:tblGrid>
      <w:tr w:rsidR="00D90B86" w:rsidRPr="0049409F" w:rsidTr="006216B5">
        <w:trPr>
          <w:trHeight w:val="2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S1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S2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63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Уровень бюджета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  <w:r w:rsidRPr="0049409F">
              <w:rPr>
                <w:bCs/>
              </w:rPr>
              <w:t>Подуровень бюджета</w:t>
            </w:r>
          </w:p>
        </w:tc>
        <w:tc>
          <w:tcPr>
            <w:tcW w:w="6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</w:rPr>
            </w:pPr>
          </w:p>
        </w:tc>
      </w:tr>
      <w:tr w:rsidR="00D90B86" w:rsidRPr="0049409F" w:rsidTr="006216B5">
        <w:trPr>
          <w:trHeight w:val="432"/>
          <w:jc w:val="center"/>
        </w:trPr>
        <w:tc>
          <w:tcPr>
            <w:tcW w:w="11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0</w:t>
            </w:r>
          </w:p>
        </w:tc>
        <w:tc>
          <w:tcPr>
            <w:tcW w:w="6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Национальный публичный бюджет</w:t>
            </w:r>
          </w:p>
        </w:tc>
      </w:tr>
      <w:tr w:rsidR="00D90B86" w:rsidRPr="0049409F" w:rsidTr="006216B5">
        <w:trPr>
          <w:trHeight w:val="43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Консолидированный центральный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Государственный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Бюджет государственного социального страхования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3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/>
            </w:pPr>
            <w:r w:rsidRPr="0049409F">
              <w:t>Фонды обязательного медицинского страхования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Консолидированный местный бюджет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Местный бюджет первого уровня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6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ind w:left="708" w:firstLine="16"/>
            </w:pPr>
            <w:r w:rsidRPr="0049409F">
              <w:t>Местный бюджет второго уровня</w:t>
            </w:r>
          </w:p>
        </w:tc>
      </w:tr>
    </w:tbl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</w:pPr>
      <w:r w:rsidRPr="0049409F">
        <w:t>Компоненты источников отличаются отдельно по доходной и расходной части.</w:t>
      </w:r>
    </w:p>
    <w:p w:rsidR="00D90B86" w:rsidRPr="0049409F" w:rsidRDefault="00D90B86" w:rsidP="000A21B2">
      <w:r w:rsidRPr="0049409F">
        <w:rPr>
          <w:lang w:val="ro-RO"/>
        </w:rPr>
        <w:t>5.1</w:t>
      </w:r>
      <w:r w:rsidRPr="0049409F">
        <w:t>. Регистр компонентов источников для доходной части:</w:t>
      </w:r>
    </w:p>
    <w:p w:rsidR="00D90B86" w:rsidRPr="0049409F" w:rsidRDefault="00D90B86" w:rsidP="000A21B2">
      <w:pPr>
        <w:rPr>
          <w:lang w:val="ro-RO"/>
        </w:rPr>
      </w:pPr>
    </w:p>
    <w:tbl>
      <w:tblPr>
        <w:tblW w:w="9355" w:type="dxa"/>
        <w:jc w:val="center"/>
        <w:tblLook w:val="0000"/>
      </w:tblPr>
      <w:tblGrid>
        <w:gridCol w:w="1365"/>
        <w:gridCol w:w="1737"/>
        <w:gridCol w:w="6253"/>
      </w:tblGrid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lastRenderedPageBreak/>
              <w:t>1</w:t>
            </w:r>
          </w:p>
        </w:tc>
        <w:tc>
          <w:tcPr>
            <w:tcW w:w="17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00</w:t>
            </w:r>
          </w:p>
        </w:tc>
        <w:tc>
          <w:tcPr>
            <w:tcW w:w="6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rPr>
                <w:lang w:val="en-US"/>
              </w:rPr>
            </w:pPr>
            <w:r w:rsidRPr="0049409F">
              <w:t>Общие средства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r w:rsidRPr="0049409F">
              <w:t>Средства, собираемые бюджетными  органами/учреждениями</w:t>
            </w:r>
          </w:p>
        </w:tc>
      </w:tr>
      <w:tr w:rsidR="00D90B86" w:rsidRPr="0049409F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en-US"/>
              </w:rPr>
            </w:pPr>
            <w:r w:rsidRPr="0049409F">
              <w:rPr>
                <w:lang w:val="en-US"/>
              </w:rPr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Средстваспециальных фондов</w:t>
            </w:r>
          </w:p>
        </w:tc>
      </w:tr>
      <w:tr w:rsidR="00D90B86" w:rsidRPr="0049409F" w:rsidTr="006216B5">
        <w:trPr>
          <w:trHeight w:val="471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97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Средства, привлекаемые учреждениями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98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  <w:rPr>
                <w:lang w:val="ro-RO"/>
              </w:rPr>
            </w:pPr>
            <w:r w:rsidRPr="0049409F">
              <w:t>Средства, привлекаемыена проекты, финансированные из внешних источников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2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8E3389">
            <w:pPr>
              <w:ind w:firstLineChars="165" w:firstLine="396"/>
            </w:pPr>
            <w:r w:rsidRPr="0049409F">
              <w:t>Прочие средства специального назначения</w:t>
            </w:r>
          </w:p>
        </w:tc>
      </w:tr>
    </w:tbl>
    <w:p w:rsidR="00D90B86" w:rsidRPr="0049409F" w:rsidRDefault="00D90B86" w:rsidP="000A21B2">
      <w:pPr>
        <w:rPr>
          <w:lang w:val="en-US"/>
        </w:rPr>
      </w:pPr>
    </w:p>
    <w:p w:rsidR="00D90B86" w:rsidRPr="0049409F" w:rsidRDefault="00D90B86" w:rsidP="000A21B2">
      <w:pPr>
        <w:rPr>
          <w:lang w:val="en-US"/>
        </w:rPr>
      </w:pPr>
    </w:p>
    <w:p w:rsidR="00D90B86" w:rsidRPr="0049409F" w:rsidRDefault="00D90B86" w:rsidP="000A21B2">
      <w:r w:rsidRPr="0049409F">
        <w:t>5.2. Регистр компонентов источников для расходной части:</w:t>
      </w:r>
    </w:p>
    <w:p w:rsidR="00D90B86" w:rsidRPr="0049409F" w:rsidRDefault="00D90B86" w:rsidP="000A21B2"/>
    <w:tbl>
      <w:tblPr>
        <w:tblW w:w="9355" w:type="dxa"/>
        <w:jc w:val="center"/>
        <w:tblLook w:val="0000"/>
      </w:tblPr>
      <w:tblGrid>
        <w:gridCol w:w="1365"/>
        <w:gridCol w:w="1737"/>
        <w:gridCol w:w="6253"/>
      </w:tblGrid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ro-RO"/>
              </w:rPr>
            </w:pPr>
            <w:r w:rsidRPr="0049409F">
              <w:rPr>
                <w:bCs/>
                <w:lang w:val="ro-RO"/>
              </w:rPr>
              <w:t>S4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Наименование</w:t>
            </w:r>
          </w:p>
        </w:tc>
      </w:tr>
      <w:tr w:rsidR="00D90B86" w:rsidRPr="0049409F" w:rsidTr="006216B5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Компонент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  <w:r w:rsidRPr="0049409F">
              <w:rPr>
                <w:bCs/>
              </w:rPr>
              <w:t>Подкомпонент</w:t>
            </w:r>
          </w:p>
        </w:tc>
        <w:tc>
          <w:tcPr>
            <w:tcW w:w="6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bCs/>
                <w:lang w:val="en-US"/>
              </w:rPr>
            </w:pP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3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00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r w:rsidRPr="0049409F">
              <w:t>Общие ассигнования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49409F">
            <w:pPr>
              <w:jc w:val="both"/>
            </w:pPr>
            <w:r w:rsidRPr="0049409F">
              <w:t>Специальные ассигнования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t>0</w:t>
            </w:r>
            <w:r w:rsidRPr="0049409F">
              <w:rPr>
                <w:lang w:val="ro-RO"/>
              </w:rPr>
              <w:t>1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Резервный фонд Правительства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t>0</w:t>
            </w:r>
            <w:r w:rsidRPr="0049409F">
              <w:rPr>
                <w:lang w:val="ro-RO"/>
              </w:rPr>
              <w:t>2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  <w:rPr>
                <w:lang w:val="en-US"/>
              </w:rPr>
            </w:pPr>
            <w:r w:rsidRPr="0049409F">
              <w:t>Интервенционный фонд Правительства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03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Резервный фонд местного органа публичной власти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04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  <w:rPr>
                <w:lang w:val="en-US"/>
              </w:rPr>
            </w:pPr>
            <w:r w:rsidRPr="0049409F">
              <w:t>Программа по реинтеграции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06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Фонд для реконструкции и оснащения учреждений начального, гимназического и лицейского образования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08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Единовременное пособие на строительство/ приобретение жилой площади или восстановление старых домов некоторым категориям граждан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09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Компенсации жертвам политических репрессий и компенсация на подключение к газопроводу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10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Компонент административно-территориальной единицы для начального, гимназического и лицейского образования;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11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 w:rsidRPr="0049409F">
              <w:t>Фонд инклюзивного образования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AD1B50" w:rsidRDefault="00D90B86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AD1B50" w:rsidRDefault="00D90B86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  <w:jc w:val="both"/>
            </w:pPr>
            <w:r>
              <w:t>Реформа публичного управления</w:t>
            </w:r>
          </w:p>
        </w:tc>
      </w:tr>
      <w:tr w:rsidR="002A44B4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A44B4" w:rsidRDefault="002A44B4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A44B4" w:rsidRDefault="002A44B4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A44B4" w:rsidRDefault="002A44B4" w:rsidP="008E3389">
            <w:pPr>
              <w:ind w:firstLineChars="200" w:firstLine="480"/>
              <w:jc w:val="both"/>
            </w:pPr>
            <w:r>
              <w:t>Ассигнования для возмещения гражданских убытков</w:t>
            </w:r>
          </w:p>
        </w:tc>
      </w:tr>
      <w:tr w:rsidR="009559E7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559E7" w:rsidRDefault="009559E7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559E7" w:rsidRDefault="009559E7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59E7" w:rsidRDefault="009559E7" w:rsidP="008E3389">
            <w:pPr>
              <w:ind w:firstLineChars="200" w:firstLine="480"/>
              <w:jc w:val="both"/>
            </w:pPr>
            <w:r>
              <w:t>Фонд для поддержки Программы Диаспора Дома Преуспевает</w:t>
            </w:r>
          </w:p>
        </w:tc>
      </w:tr>
      <w:tr w:rsidR="002F6FFB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6FFB" w:rsidRDefault="002F6FFB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6FFB" w:rsidRDefault="002F6FFB" w:rsidP="006216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F6FFB" w:rsidRDefault="002F6FFB" w:rsidP="008E3389">
            <w:pPr>
              <w:ind w:firstLineChars="200" w:firstLine="480"/>
              <w:jc w:val="both"/>
            </w:pPr>
            <w:r>
              <w:t>Ассигнования в качестве дополнительной поддержки из государственного бюджета</w:t>
            </w:r>
          </w:p>
        </w:tc>
      </w:tr>
      <w:tr w:rsidR="00D90B86" w:rsidRPr="0049409F" w:rsidTr="006216B5">
        <w:trPr>
          <w:trHeight w:val="255"/>
          <w:jc w:val="center"/>
        </w:trPr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</w:pPr>
            <w:r w:rsidRPr="0049409F">
              <w:t>4</w:t>
            </w:r>
          </w:p>
        </w:tc>
        <w:tc>
          <w:tcPr>
            <w:tcW w:w="1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D90B86" w:rsidRPr="0049409F" w:rsidRDefault="00D90B86" w:rsidP="006216B5">
            <w:pPr>
              <w:jc w:val="center"/>
              <w:rPr>
                <w:lang w:val="ro-RO"/>
              </w:rPr>
            </w:pPr>
            <w:r w:rsidRPr="0049409F">
              <w:rPr>
                <w:lang w:val="ro-RO"/>
              </w:rPr>
              <w:t>99</w:t>
            </w:r>
          </w:p>
        </w:tc>
        <w:tc>
          <w:tcPr>
            <w:tcW w:w="6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90B86" w:rsidRPr="0049409F" w:rsidRDefault="00D90B86" w:rsidP="008E3389">
            <w:pPr>
              <w:ind w:firstLineChars="200" w:firstLine="480"/>
            </w:pPr>
            <w:r w:rsidRPr="0049409F">
              <w:t>Прочие специальные ассигнования</w:t>
            </w:r>
          </w:p>
        </w:tc>
      </w:tr>
    </w:tbl>
    <w:p w:rsidR="00D90B86" w:rsidRPr="0049409F" w:rsidRDefault="00D90B86" w:rsidP="000A21B2">
      <w:pPr>
        <w:rPr>
          <w:lang w:val="ro-RO"/>
        </w:rPr>
      </w:pPr>
    </w:p>
    <w:p w:rsidR="00D90B86" w:rsidRPr="0049409F" w:rsidRDefault="00D90B86" w:rsidP="000A21B2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</w:pPr>
      <w:r w:rsidRPr="0049409F">
        <w:t>Регистр</w:t>
      </w:r>
      <w:r w:rsidR="002F3BB6">
        <w:rPr>
          <w:lang w:val="en-GB"/>
        </w:rPr>
        <w:t xml:space="preserve"> </w:t>
      </w:r>
      <w:r w:rsidRPr="0049409F">
        <w:t>происхождения источника доходов:</w:t>
      </w:r>
    </w:p>
    <w:tbl>
      <w:tblPr>
        <w:tblW w:w="1014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4"/>
        <w:gridCol w:w="945"/>
        <w:gridCol w:w="8033"/>
      </w:tblGrid>
      <w:tr w:rsidR="00D90B86" w:rsidRPr="0049409F" w:rsidTr="0049409F">
        <w:trPr>
          <w:trHeight w:val="4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09F"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S5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S6</w:t>
            </w:r>
          </w:p>
        </w:tc>
        <w:tc>
          <w:tcPr>
            <w:tcW w:w="8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90B86" w:rsidRPr="0049409F" w:rsidTr="0049409F">
        <w:trPr>
          <w:trHeight w:val="106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spacing w:line="270" w:lineRule="exact"/>
              <w:rPr>
                <w:rStyle w:val="FontStyle11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Происхождение источника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b/>
                <w:sz w:val="20"/>
                <w:szCs w:val="20"/>
                <w:lang w:val="ru-RU" w:eastAsia="ru-RU"/>
              </w:rPr>
              <w:t>Донор</w:t>
            </w:r>
          </w:p>
        </w:tc>
        <w:tc>
          <w:tcPr>
            <w:tcW w:w="80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ind w:left="3000"/>
              <w:jc w:val="left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49409F">
              <w:rPr>
                <w:rStyle w:val="FontStyle12"/>
                <w:rFonts w:ascii="Times New Roman" w:hAnsi="Times New Roman" w:cs="Times New Roman"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Внутренние источники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Внешние источники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Банк развития Совета Европы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  <w:t>51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Европейский инвестиционный банк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vertAlign w:val="superscript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 xml:space="preserve">Немецкий банк </w:t>
            </w: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KfW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Европейский банк реконструкции и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Всемирный банк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Европейская комиссия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Глобальный фонд по борьбе со СПИДом, туберкулезом и малярией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Международный фонд сельскохозяйственного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Кувейтский фонд арабского экономического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59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Швеции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Нидерландов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spacing w:val="20"/>
                <w:lang w:val="ru-RU" w:eastAsia="ru-RU"/>
              </w:rPr>
              <w:t>61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Японии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Шведское агентство международного развития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0B86" w:rsidRPr="0049409F" w:rsidRDefault="00D90B86" w:rsidP="00B97D25">
            <w:pPr>
              <w:pStyle w:val="Style3"/>
              <w:widowControl/>
              <w:ind w:right="390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Департамент международного развития Правительства Соединенного Королевства Великобритании и Северной Ирландии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США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Программа ООН по окружающей среде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Детский ф онд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Фонд Сорос-Молдова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Техническая помощь Содружеству Независимых Государств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69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Программа развития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Сообщество Европейских Государств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Центр европейских инициатив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Европейская экономическая комиссия ООН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Канадский ф 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Глобальный ф онд окружающей среды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Центр европейских инициатив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Российской Федерации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Болгарии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Венгрии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79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Италии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Каталитический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Грузии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82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Международный валютный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Польши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Австрии</w:t>
            </w:r>
          </w:p>
        </w:tc>
      </w:tr>
      <w:tr w:rsidR="008E3389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085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9" w:rsidRPr="0049409F" w:rsidRDefault="008E3389" w:rsidP="001738CB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Румынии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8E3389" w:rsidRDefault="008E3389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GB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GB" w:eastAsia="ru-RU"/>
              </w:rPr>
              <w:t>2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8E3389" w:rsidRDefault="008E3389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GB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GB" w:eastAsia="ru-RU"/>
              </w:rPr>
              <w:t>086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8E3389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8E3389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Правительство Турции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094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Китайский Специальный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096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Турецкий Специальный фонд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097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Австрийское агентство по развитию</w:t>
            </w:r>
          </w:p>
        </w:tc>
      </w:tr>
      <w:tr w:rsidR="00D90B8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en-US" w:eastAsia="ru-RU"/>
              </w:rPr>
              <w:t>098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86" w:rsidRPr="0049409F" w:rsidRDefault="00D90B8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Швейцарское агентство по развитию и сотрудничеству</w:t>
            </w:r>
          </w:p>
        </w:tc>
      </w:tr>
      <w:tr w:rsidR="002F3BB6" w:rsidRPr="0049409F" w:rsidTr="0049409F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49409F" w:rsidRDefault="002F3BB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49409F" w:rsidRDefault="002F3BB6" w:rsidP="00B97D2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FontStyle13"/>
                <w:rFonts w:ascii="Times New Roman" w:hAnsi="Times New Roman" w:cs="Times New Roman"/>
                <w:lang w:val="en-US" w:eastAsia="ru-RU"/>
              </w:rPr>
              <w:t>099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B6" w:rsidRPr="002F3BB6" w:rsidRDefault="002F3BB6" w:rsidP="00B97D2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2F3BB6">
              <w:rPr>
                <w:rFonts w:ascii="Times New Roman" w:hAnsi="Times New Roman"/>
                <w:sz w:val="22"/>
                <w:szCs w:val="22"/>
              </w:rPr>
              <w:t>Организация Североатлантического договора (НАТО)</w:t>
            </w:r>
          </w:p>
        </w:tc>
      </w:tr>
      <w:tr w:rsidR="008076D8" w:rsidRPr="00272994" w:rsidTr="008076D8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jc w:val="both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 xml:space="preserve">Банкразвития Республики Белоруссии </w:t>
            </w:r>
          </w:p>
        </w:tc>
      </w:tr>
      <w:tr w:rsidR="008076D8" w:rsidRPr="00272994" w:rsidTr="008076D8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jc w:val="both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Промышленный и Коммерческий Банк Китая</w:t>
            </w:r>
          </w:p>
        </w:tc>
      </w:tr>
      <w:tr w:rsidR="008076D8" w:rsidRPr="00272994" w:rsidTr="008076D8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jc w:val="both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Организация Объединённых Наций по промышленному развитию</w:t>
            </w:r>
          </w:p>
        </w:tc>
      </w:tr>
      <w:tr w:rsidR="008076D8" w:rsidRPr="00272994" w:rsidTr="008076D8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8076D8" w:rsidRDefault="008076D8" w:rsidP="008076D8">
            <w:pPr>
              <w:pStyle w:val="Style4"/>
              <w:jc w:val="both"/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</w:pPr>
            <w:r w:rsidRPr="008076D8">
              <w:rPr>
                <w:rFonts w:ascii="Times New Roman" w:hAnsi="Times New Roman"/>
                <w:spacing w:val="-10"/>
                <w:sz w:val="22"/>
                <w:szCs w:val="22"/>
                <w:lang w:val="ru-RU" w:eastAsia="ru-RU"/>
              </w:rPr>
              <w:t>Северная Экологическая Финансовая Корпорация (НЕФКО)</w:t>
            </w:r>
          </w:p>
        </w:tc>
      </w:tr>
      <w:tr w:rsidR="008076D8" w:rsidRPr="0049409F" w:rsidTr="008076D8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49409F" w:rsidRDefault="008076D8" w:rsidP="008076D8">
            <w:pPr>
              <w:pStyle w:val="Style4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49409F" w:rsidRDefault="008076D8" w:rsidP="008076D8">
            <w:pPr>
              <w:pStyle w:val="Style4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999</w:t>
            </w:r>
          </w:p>
        </w:tc>
        <w:tc>
          <w:tcPr>
            <w:tcW w:w="8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D8" w:rsidRPr="0049409F" w:rsidRDefault="008076D8" w:rsidP="008076D8">
            <w:pPr>
              <w:pStyle w:val="Style4"/>
              <w:jc w:val="both"/>
              <w:rPr>
                <w:rStyle w:val="FontStyle13"/>
                <w:rFonts w:ascii="Times New Roman" w:hAnsi="Times New Roman" w:cs="Times New Roman"/>
                <w:lang w:val="ru-RU" w:eastAsia="ru-RU"/>
              </w:rPr>
            </w:pPr>
            <w:r w:rsidRPr="0049409F">
              <w:rPr>
                <w:rStyle w:val="FontStyle13"/>
                <w:rFonts w:ascii="Times New Roman" w:hAnsi="Times New Roman" w:cs="Times New Roman"/>
                <w:lang w:val="ru-RU" w:eastAsia="ru-RU"/>
              </w:rPr>
              <w:t>Прочие доноры</w:t>
            </w:r>
          </w:p>
        </w:tc>
      </w:tr>
    </w:tbl>
    <w:p w:rsidR="00D90B86" w:rsidRPr="008076D8" w:rsidRDefault="00D90B86" w:rsidP="0049409F"/>
    <w:sectPr w:rsidR="00D90B86" w:rsidRPr="008076D8" w:rsidSect="0049409F">
      <w:footerReference w:type="even" r:id="rId8"/>
      <w:footerReference w:type="default" r:id="rId9"/>
      <w:pgSz w:w="11906" w:h="16838"/>
      <w:pgMar w:top="719" w:right="1016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D3" w:rsidRDefault="002C6ED3">
      <w:r>
        <w:separator/>
      </w:r>
    </w:p>
  </w:endnote>
  <w:endnote w:type="continuationSeparator" w:id="1">
    <w:p w:rsidR="002C6ED3" w:rsidRDefault="002C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86" w:rsidRDefault="0008168B" w:rsidP="003871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0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B86" w:rsidRDefault="00D90B86" w:rsidP="00B220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86" w:rsidRDefault="00D90B86" w:rsidP="00B220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D3" w:rsidRDefault="002C6ED3">
      <w:r>
        <w:separator/>
      </w:r>
    </w:p>
  </w:footnote>
  <w:footnote w:type="continuationSeparator" w:id="1">
    <w:p w:rsidR="002C6ED3" w:rsidRDefault="002C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6BF"/>
    <w:multiLevelType w:val="hybridMultilevel"/>
    <w:tmpl w:val="213EB914"/>
    <w:lvl w:ilvl="0" w:tplc="E30CC04E">
      <w:start w:val="1"/>
      <w:numFmt w:val="decimal"/>
      <w:lvlText w:val="%1."/>
      <w:lvlJc w:val="left"/>
      <w:pPr>
        <w:ind w:left="9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1B2"/>
    <w:rsid w:val="0001151B"/>
    <w:rsid w:val="00033498"/>
    <w:rsid w:val="00044663"/>
    <w:rsid w:val="0008168B"/>
    <w:rsid w:val="00092BC0"/>
    <w:rsid w:val="000A21B2"/>
    <w:rsid w:val="000E6139"/>
    <w:rsid w:val="0017420B"/>
    <w:rsid w:val="001B253B"/>
    <w:rsid w:val="001F6A32"/>
    <w:rsid w:val="0020419A"/>
    <w:rsid w:val="00242B1D"/>
    <w:rsid w:val="002A44B4"/>
    <w:rsid w:val="002C6ED3"/>
    <w:rsid w:val="002D2AF2"/>
    <w:rsid w:val="002F3BB6"/>
    <w:rsid w:val="002F6FFB"/>
    <w:rsid w:val="00360224"/>
    <w:rsid w:val="003752C4"/>
    <w:rsid w:val="00387119"/>
    <w:rsid w:val="003A4924"/>
    <w:rsid w:val="003F5AB1"/>
    <w:rsid w:val="00412736"/>
    <w:rsid w:val="004131AF"/>
    <w:rsid w:val="0045434C"/>
    <w:rsid w:val="0049409F"/>
    <w:rsid w:val="004F7150"/>
    <w:rsid w:val="00500243"/>
    <w:rsid w:val="00517BBE"/>
    <w:rsid w:val="0052446A"/>
    <w:rsid w:val="00526F91"/>
    <w:rsid w:val="0055622A"/>
    <w:rsid w:val="005909A2"/>
    <w:rsid w:val="00597C94"/>
    <w:rsid w:val="005B1E62"/>
    <w:rsid w:val="005B1F98"/>
    <w:rsid w:val="006077F7"/>
    <w:rsid w:val="00612C00"/>
    <w:rsid w:val="006216B5"/>
    <w:rsid w:val="00627C26"/>
    <w:rsid w:val="00636AA9"/>
    <w:rsid w:val="006A3D84"/>
    <w:rsid w:val="006F433A"/>
    <w:rsid w:val="00725D81"/>
    <w:rsid w:val="007260E5"/>
    <w:rsid w:val="007D7A66"/>
    <w:rsid w:val="007E1571"/>
    <w:rsid w:val="008076D8"/>
    <w:rsid w:val="00820FE9"/>
    <w:rsid w:val="00832B36"/>
    <w:rsid w:val="008745D4"/>
    <w:rsid w:val="00894DD5"/>
    <w:rsid w:val="008A1ABE"/>
    <w:rsid w:val="008E3389"/>
    <w:rsid w:val="00903DC7"/>
    <w:rsid w:val="0091680C"/>
    <w:rsid w:val="009559E7"/>
    <w:rsid w:val="00A21B80"/>
    <w:rsid w:val="00A46D6E"/>
    <w:rsid w:val="00A95793"/>
    <w:rsid w:val="00AD1B50"/>
    <w:rsid w:val="00AF1F45"/>
    <w:rsid w:val="00B172A2"/>
    <w:rsid w:val="00B22038"/>
    <w:rsid w:val="00B97D25"/>
    <w:rsid w:val="00C241DA"/>
    <w:rsid w:val="00CB0DB6"/>
    <w:rsid w:val="00CD15BB"/>
    <w:rsid w:val="00CD5E19"/>
    <w:rsid w:val="00CF6099"/>
    <w:rsid w:val="00D57404"/>
    <w:rsid w:val="00D8595C"/>
    <w:rsid w:val="00D90B86"/>
    <w:rsid w:val="00DD64B1"/>
    <w:rsid w:val="00DE201B"/>
    <w:rsid w:val="00DF2FAA"/>
    <w:rsid w:val="00E045DA"/>
    <w:rsid w:val="00E50894"/>
    <w:rsid w:val="00F37EA1"/>
    <w:rsid w:val="00F61716"/>
    <w:rsid w:val="00F8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B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1B2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locked/>
    <w:rsid w:val="000A21B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uiPriority w:val="99"/>
    <w:rsid w:val="000A21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2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A21B2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6A3D84"/>
    <w:pPr>
      <w:widowControl w:val="0"/>
      <w:autoSpaceDE w:val="0"/>
      <w:autoSpaceDN w:val="0"/>
      <w:adjustRightInd w:val="0"/>
    </w:pPr>
    <w:rPr>
      <w:rFonts w:ascii="Cambria" w:hAnsi="Cambria"/>
      <w:lang w:val="ro-RO" w:eastAsia="ro-RO"/>
    </w:rPr>
  </w:style>
  <w:style w:type="paragraph" w:customStyle="1" w:styleId="Style2">
    <w:name w:val="Style2"/>
    <w:basedOn w:val="Normal"/>
    <w:uiPriority w:val="99"/>
    <w:rsid w:val="006A3D84"/>
    <w:pPr>
      <w:widowControl w:val="0"/>
      <w:autoSpaceDE w:val="0"/>
      <w:autoSpaceDN w:val="0"/>
      <w:adjustRightInd w:val="0"/>
    </w:pPr>
    <w:rPr>
      <w:rFonts w:ascii="Cambria" w:hAnsi="Cambria"/>
      <w:lang w:val="ro-RO" w:eastAsia="ro-RO"/>
    </w:rPr>
  </w:style>
  <w:style w:type="paragraph" w:customStyle="1" w:styleId="Style3">
    <w:name w:val="Style3"/>
    <w:basedOn w:val="Normal"/>
    <w:uiPriority w:val="99"/>
    <w:rsid w:val="006A3D84"/>
    <w:pPr>
      <w:widowControl w:val="0"/>
      <w:autoSpaceDE w:val="0"/>
      <w:autoSpaceDN w:val="0"/>
      <w:adjustRightInd w:val="0"/>
      <w:spacing w:line="315" w:lineRule="exact"/>
    </w:pPr>
    <w:rPr>
      <w:rFonts w:ascii="Cambria" w:hAnsi="Cambria"/>
      <w:lang w:val="ro-RO" w:eastAsia="ro-RO"/>
    </w:rPr>
  </w:style>
  <w:style w:type="paragraph" w:customStyle="1" w:styleId="Style4">
    <w:name w:val="Style4"/>
    <w:basedOn w:val="Normal"/>
    <w:uiPriority w:val="99"/>
    <w:rsid w:val="006A3D84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mbria" w:hAnsi="Cambria"/>
      <w:lang w:val="ro-RO" w:eastAsia="ro-RO"/>
    </w:rPr>
  </w:style>
  <w:style w:type="character" w:customStyle="1" w:styleId="FontStyle11">
    <w:name w:val="Font Style11"/>
    <w:uiPriority w:val="99"/>
    <w:rsid w:val="006A3D84"/>
    <w:rPr>
      <w:rFonts w:ascii="Cambria" w:hAnsi="Cambria" w:cs="Cambria"/>
      <w:spacing w:val="-10"/>
      <w:sz w:val="22"/>
      <w:szCs w:val="22"/>
    </w:rPr>
  </w:style>
  <w:style w:type="character" w:customStyle="1" w:styleId="FontStyle12">
    <w:name w:val="Font Style12"/>
    <w:uiPriority w:val="99"/>
    <w:rsid w:val="006A3D84"/>
    <w:rPr>
      <w:rFonts w:ascii="Segoe UI" w:hAnsi="Segoe UI" w:cs="Segoe UI"/>
      <w:b/>
      <w:bCs/>
      <w:sz w:val="16"/>
      <w:szCs w:val="16"/>
    </w:rPr>
  </w:style>
  <w:style w:type="character" w:customStyle="1" w:styleId="FontStyle13">
    <w:name w:val="Font Style13"/>
    <w:uiPriority w:val="99"/>
    <w:rsid w:val="006A3D84"/>
    <w:rPr>
      <w:rFonts w:ascii="Cambria" w:hAnsi="Cambria" w:cs="Cambria"/>
      <w:spacing w:val="-10"/>
      <w:sz w:val="22"/>
      <w:szCs w:val="22"/>
    </w:rPr>
  </w:style>
  <w:style w:type="paragraph" w:styleId="Header">
    <w:name w:val="header"/>
    <w:basedOn w:val="Normal"/>
    <w:link w:val="HeaderChar"/>
    <w:uiPriority w:val="99"/>
    <w:rsid w:val="004940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locked/>
    <w:rsid w:val="007D7A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651</Words>
  <Characters>3717</Characters>
  <Application>Microsoft Office Word</Application>
  <DocSecurity>0</DocSecurity>
  <Lines>30</Lines>
  <Paragraphs>8</Paragraphs>
  <ScaleCrop>false</ScaleCrop>
  <Company>diakov.net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17</cp:revision>
  <dcterms:created xsi:type="dcterms:W3CDTF">2016-01-13T12:20:00Z</dcterms:created>
  <dcterms:modified xsi:type="dcterms:W3CDTF">2018-11-08T08:43:00Z</dcterms:modified>
</cp:coreProperties>
</file>