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C3" w:rsidRPr="00D74B3E" w:rsidRDefault="003B3EB7" w:rsidP="00B61F32">
      <w:pPr>
        <w:tabs>
          <w:tab w:val="left" w:pos="3975"/>
          <w:tab w:val="right" w:pos="10490"/>
        </w:tabs>
        <w:spacing w:after="0" w:line="240" w:lineRule="auto"/>
        <w:ind w:left="8640"/>
        <w:jc w:val="right"/>
        <w:rPr>
          <w:rFonts w:ascii="Times New Roman" w:hAnsi="Times New Roman" w:cs="Times New Roman"/>
          <w:sz w:val="26"/>
          <w:szCs w:val="26"/>
        </w:rPr>
      </w:pPr>
      <w:r>
        <w:rPr>
          <w:rFonts w:ascii="Times New Roman" w:hAnsi="Times New Roman" w:cs="Times New Roman"/>
          <w:sz w:val="26"/>
          <w:szCs w:val="26"/>
        </w:rPr>
        <w:tab/>
      </w:r>
      <w:r w:rsidR="004E07C3" w:rsidRPr="00D74B3E">
        <w:rPr>
          <w:rFonts w:ascii="Times New Roman" w:hAnsi="Times New Roman" w:cs="Times New Roman"/>
          <w:sz w:val="26"/>
          <w:szCs w:val="26"/>
        </w:rPr>
        <w:t>Anexă</w:t>
      </w:r>
    </w:p>
    <w:p w:rsidR="004E07C3" w:rsidRPr="00D74B3E" w:rsidRDefault="004E07C3" w:rsidP="00B61F32">
      <w:pPr>
        <w:tabs>
          <w:tab w:val="right" w:pos="10490"/>
        </w:tabs>
        <w:spacing w:after="0" w:line="240" w:lineRule="auto"/>
        <w:ind w:left="8640" w:firstLine="1170"/>
        <w:jc w:val="right"/>
        <w:rPr>
          <w:rFonts w:ascii="Times New Roman" w:hAnsi="Times New Roman" w:cs="Times New Roman"/>
          <w:sz w:val="26"/>
          <w:szCs w:val="26"/>
        </w:rPr>
      </w:pPr>
      <w:r w:rsidRPr="00D74B3E">
        <w:rPr>
          <w:rFonts w:ascii="Times New Roman" w:hAnsi="Times New Roman" w:cs="Times New Roman"/>
          <w:sz w:val="26"/>
          <w:szCs w:val="26"/>
        </w:rPr>
        <w:t>la Ordinul Ministerului Economiei și Infrastructurii</w:t>
      </w:r>
    </w:p>
    <w:p w:rsidR="004E07C3" w:rsidRPr="00D74B3E" w:rsidRDefault="004E07C3" w:rsidP="00B61F32">
      <w:pPr>
        <w:tabs>
          <w:tab w:val="right" w:pos="10490"/>
        </w:tabs>
        <w:spacing w:after="0" w:line="240" w:lineRule="auto"/>
        <w:ind w:left="8640" w:firstLine="1170"/>
        <w:jc w:val="right"/>
        <w:rPr>
          <w:rFonts w:ascii="Times New Roman" w:hAnsi="Times New Roman" w:cs="Times New Roman"/>
          <w:sz w:val="26"/>
          <w:szCs w:val="26"/>
        </w:rPr>
      </w:pPr>
      <w:r w:rsidRPr="00D74B3E">
        <w:rPr>
          <w:rFonts w:ascii="Times New Roman" w:hAnsi="Times New Roman" w:cs="Times New Roman"/>
          <w:sz w:val="26"/>
          <w:szCs w:val="26"/>
        </w:rPr>
        <w:t>nr.</w:t>
      </w:r>
      <w:r w:rsidR="003B3EB7">
        <w:rPr>
          <w:rFonts w:ascii="Times New Roman" w:hAnsi="Times New Roman" w:cs="Times New Roman"/>
          <w:sz w:val="26"/>
          <w:szCs w:val="26"/>
        </w:rPr>
        <w:t xml:space="preserve"> 541</w:t>
      </w:r>
      <w:r w:rsidR="005304A7" w:rsidRPr="00D74B3E">
        <w:rPr>
          <w:rFonts w:ascii="Times New Roman" w:hAnsi="Times New Roman" w:cs="Times New Roman"/>
          <w:sz w:val="26"/>
          <w:szCs w:val="26"/>
        </w:rPr>
        <w:t xml:space="preserve"> din</w:t>
      </w:r>
      <w:r w:rsidR="003B3EB7">
        <w:rPr>
          <w:rFonts w:ascii="Times New Roman" w:hAnsi="Times New Roman" w:cs="Times New Roman"/>
          <w:sz w:val="26"/>
          <w:szCs w:val="26"/>
        </w:rPr>
        <w:t xml:space="preserve"> 20 noiembrie 2018</w:t>
      </w:r>
    </w:p>
    <w:p w:rsidR="001A35AB" w:rsidRPr="00D74B3E" w:rsidRDefault="001A35AB" w:rsidP="00D74B3E">
      <w:pPr>
        <w:tabs>
          <w:tab w:val="right" w:pos="10490"/>
        </w:tabs>
        <w:spacing w:after="0" w:line="240" w:lineRule="auto"/>
        <w:ind w:firstLine="1170"/>
        <w:jc w:val="both"/>
        <w:rPr>
          <w:rFonts w:ascii="Times New Roman" w:hAnsi="Times New Roman" w:cs="Times New Roman"/>
          <w:bCs/>
          <w:sz w:val="26"/>
          <w:szCs w:val="26"/>
        </w:rPr>
      </w:pPr>
    </w:p>
    <w:p w:rsidR="00570285" w:rsidRPr="00C7356F" w:rsidRDefault="00570285" w:rsidP="00C7356F">
      <w:pPr>
        <w:tabs>
          <w:tab w:val="right" w:pos="10490"/>
        </w:tabs>
        <w:spacing w:after="0" w:line="240" w:lineRule="auto"/>
        <w:ind w:firstLine="1170"/>
        <w:jc w:val="center"/>
        <w:rPr>
          <w:rFonts w:ascii="Times New Roman" w:hAnsi="Times New Roman" w:cs="Times New Roman"/>
          <w:b/>
          <w:bCs/>
          <w:sz w:val="26"/>
          <w:szCs w:val="26"/>
        </w:rPr>
      </w:pPr>
      <w:r w:rsidRPr="00C7356F">
        <w:rPr>
          <w:rFonts w:ascii="Times New Roman" w:hAnsi="Times New Roman" w:cs="Times New Roman"/>
          <w:b/>
          <w:bCs/>
          <w:sz w:val="26"/>
          <w:szCs w:val="26"/>
        </w:rPr>
        <w:t>LISTA</w:t>
      </w:r>
    </w:p>
    <w:p w:rsidR="00570285" w:rsidRPr="00C7356F" w:rsidRDefault="00570285" w:rsidP="00C7356F">
      <w:pPr>
        <w:tabs>
          <w:tab w:val="right" w:pos="10490"/>
        </w:tabs>
        <w:spacing w:after="0" w:line="240" w:lineRule="auto"/>
        <w:ind w:right="427" w:firstLine="1170"/>
        <w:jc w:val="center"/>
        <w:rPr>
          <w:rFonts w:ascii="Times New Roman" w:hAnsi="Times New Roman" w:cs="Times New Roman"/>
          <w:b/>
          <w:bCs/>
          <w:sz w:val="28"/>
          <w:szCs w:val="28"/>
        </w:rPr>
      </w:pPr>
      <w:r w:rsidRPr="00C7356F">
        <w:rPr>
          <w:rFonts w:ascii="Times New Roman" w:hAnsi="Times New Roman" w:cs="Times New Roman"/>
          <w:b/>
          <w:bCs/>
          <w:sz w:val="28"/>
          <w:szCs w:val="28"/>
        </w:rPr>
        <w:t>standardelormoldovenești  care adoptăstandardeleeuropene</w:t>
      </w:r>
    </w:p>
    <w:p w:rsidR="003D320C" w:rsidRPr="00C7356F" w:rsidRDefault="00B61F32" w:rsidP="00C7356F">
      <w:pPr>
        <w:spacing w:after="0" w:line="240" w:lineRule="auto"/>
        <w:rPr>
          <w:rFonts w:ascii="Times New Roman" w:eastAsia="Times New Roman" w:hAnsi="Times New Roman" w:cs="Times New Roman"/>
          <w:b/>
          <w:sz w:val="28"/>
          <w:szCs w:val="28"/>
          <w:lang w:eastAsia="en-GB"/>
        </w:rPr>
      </w:pPr>
      <w:r>
        <w:rPr>
          <w:rFonts w:ascii="Times New Roman" w:hAnsi="Times New Roman" w:cs="Times New Roman"/>
          <w:b/>
          <w:bCs/>
          <w:sz w:val="28"/>
          <w:szCs w:val="28"/>
        </w:rPr>
        <w:t xml:space="preserve">                                                          </w:t>
      </w:r>
      <w:r w:rsidR="00570285" w:rsidRPr="00C7356F">
        <w:rPr>
          <w:rFonts w:ascii="Times New Roman" w:hAnsi="Times New Roman" w:cs="Times New Roman"/>
          <w:b/>
          <w:bCs/>
          <w:sz w:val="28"/>
          <w:szCs w:val="28"/>
        </w:rPr>
        <w:t xml:space="preserve">armonizate la </w:t>
      </w:r>
      <w:r w:rsidR="003D320C" w:rsidRPr="00C7356F">
        <w:rPr>
          <w:rFonts w:ascii="Times New Roman" w:eastAsia="Times New Roman" w:hAnsi="Times New Roman" w:cs="Times New Roman"/>
          <w:b/>
          <w:bCs/>
          <w:sz w:val="28"/>
          <w:szCs w:val="28"/>
          <w:lang w:eastAsia="en-GB"/>
        </w:rPr>
        <w:t>Reglementarea</w:t>
      </w:r>
      <w:r w:rsidR="003D320C" w:rsidRPr="00C7356F">
        <w:rPr>
          <w:rFonts w:ascii="Times New Roman" w:eastAsia="Times New Roman" w:hAnsi="Times New Roman" w:cs="Times New Roman"/>
          <w:b/>
          <w:sz w:val="28"/>
          <w:szCs w:val="28"/>
          <w:lang w:eastAsia="en-GB"/>
        </w:rPr>
        <w:t>tehnică</w:t>
      </w:r>
      <w:r w:rsidR="007642CB" w:rsidRPr="00C7356F">
        <w:rPr>
          <w:rFonts w:ascii="Times New Roman" w:eastAsia="Times New Roman" w:hAnsi="Times New Roman" w:cs="Times New Roman"/>
          <w:b/>
          <w:bCs/>
          <w:sz w:val="28"/>
          <w:szCs w:val="28"/>
          <w:lang w:val="en-GB" w:eastAsia="en-GB"/>
        </w:rPr>
        <w:t>privindsiguranţajucăriilor</w:t>
      </w:r>
    </w:p>
    <w:p w:rsidR="002B66E2" w:rsidRDefault="002B66E2" w:rsidP="00D74B3E">
      <w:pPr>
        <w:spacing w:after="0" w:line="240" w:lineRule="auto"/>
        <w:ind w:left="2552" w:hanging="851"/>
        <w:jc w:val="both"/>
        <w:rPr>
          <w:rFonts w:ascii="Times New Roman" w:eastAsia="Times New Roman" w:hAnsi="Times New Roman" w:cs="Times New Roman"/>
          <w:sz w:val="24"/>
          <w:szCs w:val="24"/>
          <w:lang w:eastAsia="en-GB"/>
        </w:rPr>
      </w:pPr>
    </w:p>
    <w:p w:rsidR="00AB48F1" w:rsidRPr="00D74B3E" w:rsidRDefault="00AB48F1" w:rsidP="00D74B3E">
      <w:pPr>
        <w:spacing w:after="0" w:line="240" w:lineRule="auto"/>
        <w:ind w:left="2552" w:hanging="851"/>
        <w:jc w:val="both"/>
        <w:rPr>
          <w:rFonts w:ascii="Times New Roman" w:eastAsia="Times New Roman" w:hAnsi="Times New Roman" w:cs="Times New Roman"/>
          <w:sz w:val="24"/>
          <w:szCs w:val="24"/>
          <w:lang w:eastAsia="en-GB"/>
        </w:rPr>
      </w:pPr>
    </w:p>
    <w:tbl>
      <w:tblPr>
        <w:tblStyle w:val="TableNormal1"/>
        <w:tblW w:w="14023"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2041"/>
        <w:gridCol w:w="3018"/>
        <w:gridCol w:w="3870"/>
        <w:gridCol w:w="2382"/>
        <w:gridCol w:w="2250"/>
      </w:tblGrid>
      <w:tr w:rsidR="00C73169" w:rsidRPr="00D74B3E" w:rsidTr="00AB48F1">
        <w:trPr>
          <w:trHeight w:hRule="exact" w:val="1377"/>
        </w:trPr>
        <w:tc>
          <w:tcPr>
            <w:tcW w:w="462" w:type="dxa"/>
          </w:tcPr>
          <w:p w:rsidR="00C73169" w:rsidRPr="00D74B3E" w:rsidRDefault="00C73169" w:rsidP="003B3EB7">
            <w:pPr>
              <w:pStyle w:val="TableParagraph"/>
              <w:jc w:val="center"/>
              <w:rPr>
                <w:rFonts w:ascii="Times New Roman" w:hAnsi="Times New Roman" w:cs="Times New Roman"/>
                <w:b/>
              </w:rPr>
            </w:pPr>
            <w:r w:rsidRPr="00D74B3E">
              <w:rPr>
                <w:rFonts w:ascii="Times New Roman" w:hAnsi="Times New Roman" w:cs="Times New Roman"/>
                <w:b/>
              </w:rPr>
              <w:t>Nr.</w:t>
            </w:r>
            <w:r w:rsidR="003B3EB7">
              <w:rPr>
                <w:rFonts w:ascii="Times New Roman" w:hAnsi="Times New Roman" w:cs="Times New Roman"/>
                <w:b/>
              </w:rPr>
              <w:br/>
            </w:r>
            <w:r w:rsidRPr="00D74B3E">
              <w:rPr>
                <w:rFonts w:ascii="Times New Roman" w:hAnsi="Times New Roman" w:cs="Times New Roman"/>
                <w:b/>
              </w:rPr>
              <w:t>ord.</w:t>
            </w:r>
          </w:p>
          <w:p w:rsidR="00C73169" w:rsidRPr="00D74B3E" w:rsidRDefault="00C73169" w:rsidP="003B3EB7">
            <w:pPr>
              <w:pStyle w:val="TableParagraph"/>
              <w:jc w:val="center"/>
              <w:rPr>
                <w:rFonts w:ascii="Times New Roman" w:eastAsia="Calibri" w:hAnsi="Times New Roman" w:cs="Times New Roman"/>
                <w:b/>
              </w:rPr>
            </w:pPr>
          </w:p>
        </w:tc>
        <w:tc>
          <w:tcPr>
            <w:tcW w:w="2041" w:type="dxa"/>
          </w:tcPr>
          <w:p w:rsidR="00C73169" w:rsidRPr="00D74B3E" w:rsidRDefault="00C73169" w:rsidP="003B3EB7">
            <w:pPr>
              <w:pStyle w:val="TableParagraph"/>
              <w:spacing w:line="265" w:lineRule="auto"/>
              <w:ind w:left="20"/>
              <w:jc w:val="center"/>
              <w:rPr>
                <w:rFonts w:ascii="Times New Roman" w:eastAsia="Calibri" w:hAnsi="Times New Roman" w:cs="Times New Roman"/>
                <w:b/>
              </w:rPr>
            </w:pPr>
            <w:r w:rsidRPr="00D74B3E">
              <w:rPr>
                <w:rFonts w:ascii="Times New Roman" w:hAnsi="Times New Roman" w:cs="Times New Roman"/>
                <w:b/>
                <w:spacing w:val="-1"/>
              </w:rPr>
              <w:t>Indicativulstandarduluimoldovenesc</w:t>
            </w:r>
          </w:p>
        </w:tc>
        <w:tc>
          <w:tcPr>
            <w:tcW w:w="3018" w:type="dxa"/>
          </w:tcPr>
          <w:p w:rsidR="00C73169" w:rsidRPr="00D74B3E" w:rsidRDefault="00C73169" w:rsidP="003B3EB7">
            <w:pPr>
              <w:pStyle w:val="TableParagraph"/>
              <w:ind w:left="20" w:right="107"/>
              <w:jc w:val="center"/>
              <w:rPr>
                <w:rFonts w:ascii="Times New Roman" w:eastAsia="Calibri" w:hAnsi="Times New Roman" w:cs="Times New Roman"/>
                <w:b/>
              </w:rPr>
            </w:pPr>
            <w:r w:rsidRPr="00D74B3E">
              <w:rPr>
                <w:rFonts w:ascii="Times New Roman" w:hAnsi="Times New Roman" w:cs="Times New Roman"/>
                <w:b/>
                <w:spacing w:val="-1"/>
              </w:rPr>
              <w:t>Titlulstandarduluimoldovenescînlimbaromână</w:t>
            </w:r>
          </w:p>
        </w:tc>
        <w:tc>
          <w:tcPr>
            <w:tcW w:w="3870" w:type="dxa"/>
          </w:tcPr>
          <w:p w:rsidR="00C73169" w:rsidRPr="00D74B3E" w:rsidRDefault="00C73169" w:rsidP="003B3EB7">
            <w:pPr>
              <w:pStyle w:val="NoSpacing"/>
              <w:jc w:val="center"/>
              <w:rPr>
                <w:rFonts w:ascii="Times New Roman" w:eastAsia="Calibri" w:hAnsi="Times New Roman" w:cs="Times New Roman"/>
                <w:b/>
              </w:rPr>
            </w:pPr>
            <w:r w:rsidRPr="00D74B3E">
              <w:rPr>
                <w:rFonts w:ascii="Times New Roman" w:hAnsi="Times New Roman" w:cs="Times New Roman"/>
                <w:b/>
                <w:spacing w:val="-1"/>
              </w:rPr>
              <w:t>Indicativul</w:t>
            </w:r>
            <w:r w:rsidRPr="00D74B3E">
              <w:rPr>
                <w:rFonts w:ascii="Times New Roman" w:hAnsi="Times New Roman" w:cs="Times New Roman"/>
                <w:b/>
                <w:spacing w:val="-2"/>
                <w:lang w:val="ro-RO"/>
              </w:rPr>
              <w:t xml:space="preserve">și titlul </w:t>
            </w:r>
            <w:r w:rsidRPr="00D74B3E">
              <w:rPr>
                <w:rFonts w:ascii="Times New Roman" w:hAnsi="Times New Roman" w:cs="Times New Roman"/>
                <w:b/>
                <w:spacing w:val="-1"/>
              </w:rPr>
              <w:t>standardului</w:t>
            </w:r>
            <w:r w:rsidRPr="00D74B3E">
              <w:rPr>
                <w:rFonts w:ascii="Times New Roman" w:hAnsi="Times New Roman" w:cs="Times New Roman"/>
                <w:b/>
              </w:rPr>
              <w:t>european</w:t>
            </w:r>
          </w:p>
        </w:tc>
        <w:tc>
          <w:tcPr>
            <w:tcW w:w="2382" w:type="dxa"/>
          </w:tcPr>
          <w:p w:rsidR="00C73169" w:rsidRPr="00D74B3E" w:rsidRDefault="00C73169" w:rsidP="003B3EB7">
            <w:pPr>
              <w:pStyle w:val="TableParagraph"/>
              <w:spacing w:line="265" w:lineRule="auto"/>
              <w:ind w:left="20"/>
              <w:jc w:val="center"/>
              <w:rPr>
                <w:rFonts w:ascii="Times New Roman" w:eastAsia="Calibri" w:hAnsi="Times New Roman" w:cs="Times New Roman"/>
                <w:b/>
              </w:rPr>
            </w:pPr>
            <w:r w:rsidRPr="00D74B3E">
              <w:rPr>
                <w:rFonts w:ascii="Times New Roman" w:eastAsia="Calibri" w:hAnsi="Times New Roman" w:cs="Times New Roman"/>
                <w:b/>
              </w:rPr>
              <w:t>Indicativulstandarduluiînlocuit</w:t>
            </w:r>
          </w:p>
          <w:p w:rsidR="00C73169" w:rsidRPr="00D74B3E" w:rsidRDefault="00C73169" w:rsidP="003B3EB7">
            <w:pPr>
              <w:pStyle w:val="TableParagraph"/>
              <w:spacing w:line="265" w:lineRule="auto"/>
              <w:ind w:left="20"/>
              <w:jc w:val="center"/>
              <w:rPr>
                <w:rFonts w:ascii="Times New Roman" w:eastAsia="Calibri" w:hAnsi="Times New Roman" w:cs="Times New Roman"/>
                <w:b/>
              </w:rPr>
            </w:pPr>
            <w:r w:rsidRPr="00D74B3E">
              <w:rPr>
                <w:rFonts w:ascii="Times New Roman" w:eastAsia="Times New Roman" w:hAnsi="Times New Roman" w:cs="Times New Roman"/>
                <w:b/>
                <w:lang w:val="ro-RO"/>
              </w:rPr>
              <w:t>Nota 4</w:t>
            </w:r>
          </w:p>
        </w:tc>
        <w:tc>
          <w:tcPr>
            <w:tcW w:w="2250" w:type="dxa"/>
          </w:tcPr>
          <w:p w:rsidR="003B3EB7" w:rsidRDefault="00C73169" w:rsidP="003B3EB7">
            <w:pPr>
              <w:pStyle w:val="TableParagraph"/>
              <w:spacing w:line="265" w:lineRule="auto"/>
              <w:ind w:left="20"/>
              <w:jc w:val="center"/>
              <w:rPr>
                <w:rFonts w:ascii="Times New Roman" w:eastAsia="Calibri" w:hAnsi="Times New Roman" w:cs="Times New Roman"/>
                <w:b/>
              </w:rPr>
            </w:pPr>
            <w:r w:rsidRPr="00D74B3E">
              <w:rPr>
                <w:rFonts w:ascii="Times New Roman" w:eastAsia="Calibri" w:hAnsi="Times New Roman" w:cs="Times New Roman"/>
                <w:b/>
              </w:rPr>
              <w:t>Data la care</w:t>
            </w:r>
          </w:p>
          <w:p w:rsidR="003B3EB7" w:rsidRDefault="00C73169" w:rsidP="003B3EB7">
            <w:pPr>
              <w:pStyle w:val="TableParagraph"/>
              <w:spacing w:line="265" w:lineRule="auto"/>
              <w:ind w:left="20"/>
              <w:jc w:val="center"/>
              <w:rPr>
                <w:rFonts w:ascii="Times New Roman" w:eastAsia="Calibri" w:hAnsi="Times New Roman" w:cs="Times New Roman"/>
                <w:b/>
              </w:rPr>
            </w:pPr>
            <w:r w:rsidRPr="00D74B3E">
              <w:rPr>
                <w:rFonts w:ascii="Times New Roman" w:eastAsia="Calibri" w:hAnsi="Times New Roman" w:cs="Times New Roman"/>
                <w:b/>
              </w:rPr>
              <w:t>înceteazăprezumția</w:t>
            </w:r>
          </w:p>
          <w:p w:rsidR="003B3EB7" w:rsidRDefault="00C73169" w:rsidP="003B3EB7">
            <w:pPr>
              <w:pStyle w:val="TableParagraph"/>
              <w:spacing w:line="265" w:lineRule="auto"/>
              <w:ind w:left="20"/>
              <w:jc w:val="center"/>
              <w:rPr>
                <w:rFonts w:ascii="Times New Roman" w:eastAsia="Calibri" w:hAnsi="Times New Roman" w:cs="Times New Roman"/>
                <w:b/>
              </w:rPr>
            </w:pPr>
            <w:r w:rsidRPr="00D74B3E">
              <w:rPr>
                <w:rFonts w:ascii="Times New Roman" w:eastAsia="Calibri" w:hAnsi="Times New Roman" w:cs="Times New Roman"/>
                <w:b/>
              </w:rPr>
              <w:t>de conformitate</w:t>
            </w:r>
          </w:p>
          <w:p w:rsidR="00C73169" w:rsidRPr="00D74B3E" w:rsidRDefault="00C73169" w:rsidP="003B3EB7">
            <w:pPr>
              <w:pStyle w:val="TableParagraph"/>
              <w:spacing w:line="265" w:lineRule="auto"/>
              <w:ind w:left="20"/>
              <w:jc w:val="center"/>
              <w:rPr>
                <w:rFonts w:ascii="Times New Roman" w:eastAsia="Calibri" w:hAnsi="Times New Roman" w:cs="Times New Roman"/>
                <w:b/>
              </w:rPr>
            </w:pPr>
            <w:r w:rsidRPr="00D74B3E">
              <w:rPr>
                <w:rFonts w:ascii="Times New Roman" w:eastAsia="Calibri" w:hAnsi="Times New Roman" w:cs="Times New Roman"/>
                <w:b/>
              </w:rPr>
              <w:t xml:space="preserve"> a standardului</w:t>
            </w:r>
            <w:bookmarkStart w:id="0" w:name="_GoBack"/>
            <w:bookmarkEnd w:id="0"/>
            <w:r w:rsidRPr="00D74B3E">
              <w:rPr>
                <w:rFonts w:ascii="Times New Roman" w:eastAsia="Calibri" w:hAnsi="Times New Roman" w:cs="Times New Roman"/>
                <w:b/>
              </w:rPr>
              <w:t>înlocuit Nota 1</w:t>
            </w:r>
          </w:p>
        </w:tc>
      </w:tr>
      <w:tr w:rsidR="00C73169" w:rsidRPr="00D74B3E" w:rsidTr="00AB48F1">
        <w:trPr>
          <w:trHeight w:hRule="exact" w:val="323"/>
        </w:trPr>
        <w:tc>
          <w:tcPr>
            <w:tcW w:w="462" w:type="dxa"/>
          </w:tcPr>
          <w:p w:rsidR="00C73169" w:rsidRPr="00C7356F" w:rsidRDefault="00C73169" w:rsidP="00C7356F">
            <w:pPr>
              <w:pStyle w:val="TableParagraph"/>
              <w:ind w:left="20"/>
              <w:jc w:val="center"/>
              <w:rPr>
                <w:rFonts w:ascii="Times New Roman" w:hAnsi="Times New Roman" w:cs="Times New Roman"/>
              </w:rPr>
            </w:pPr>
            <w:r w:rsidRPr="00C7356F">
              <w:rPr>
                <w:rFonts w:ascii="Times New Roman" w:hAnsi="Times New Roman" w:cs="Times New Roman"/>
              </w:rPr>
              <w:t>1</w:t>
            </w:r>
          </w:p>
        </w:tc>
        <w:tc>
          <w:tcPr>
            <w:tcW w:w="2041" w:type="dxa"/>
          </w:tcPr>
          <w:p w:rsidR="00C73169" w:rsidRPr="00C7356F" w:rsidRDefault="00C73169" w:rsidP="00C7356F">
            <w:pPr>
              <w:pStyle w:val="TableParagraph"/>
              <w:ind w:left="20" w:right="47"/>
              <w:jc w:val="center"/>
              <w:rPr>
                <w:rFonts w:ascii="Times New Roman" w:hAnsi="Times New Roman" w:cs="Times New Roman"/>
              </w:rPr>
            </w:pPr>
            <w:r w:rsidRPr="00C7356F">
              <w:rPr>
                <w:rFonts w:ascii="Times New Roman" w:hAnsi="Times New Roman" w:cs="Times New Roman"/>
              </w:rPr>
              <w:t>2</w:t>
            </w:r>
          </w:p>
        </w:tc>
        <w:tc>
          <w:tcPr>
            <w:tcW w:w="3018" w:type="dxa"/>
          </w:tcPr>
          <w:p w:rsidR="00C73169" w:rsidRPr="00C7356F" w:rsidRDefault="00C73169" w:rsidP="00C7356F">
            <w:pPr>
              <w:pStyle w:val="TableParagraph"/>
              <w:spacing w:line="265" w:lineRule="auto"/>
              <w:ind w:right="107" w:hanging="1"/>
              <w:jc w:val="center"/>
              <w:rPr>
                <w:rFonts w:ascii="Times New Roman" w:hAnsi="Times New Roman" w:cs="Times New Roman"/>
                <w:spacing w:val="-1"/>
              </w:rPr>
            </w:pPr>
            <w:r w:rsidRPr="00C7356F">
              <w:rPr>
                <w:rFonts w:ascii="Times New Roman" w:hAnsi="Times New Roman" w:cs="Times New Roman"/>
                <w:spacing w:val="-1"/>
              </w:rPr>
              <w:t>3</w:t>
            </w:r>
          </w:p>
        </w:tc>
        <w:tc>
          <w:tcPr>
            <w:tcW w:w="3870" w:type="dxa"/>
          </w:tcPr>
          <w:p w:rsidR="00C73169" w:rsidRPr="00C7356F" w:rsidRDefault="00C73169" w:rsidP="00C7356F">
            <w:pPr>
              <w:pStyle w:val="TableParagraph"/>
              <w:ind w:left="20" w:right="47"/>
              <w:jc w:val="center"/>
              <w:rPr>
                <w:rFonts w:ascii="Times New Roman" w:eastAsia="Calibri" w:hAnsi="Times New Roman" w:cs="Times New Roman"/>
              </w:rPr>
            </w:pPr>
            <w:r w:rsidRPr="00C7356F">
              <w:rPr>
                <w:rFonts w:ascii="Times New Roman" w:hAnsi="Times New Roman" w:cs="Times New Roman"/>
              </w:rPr>
              <w:t>4</w:t>
            </w:r>
          </w:p>
        </w:tc>
        <w:tc>
          <w:tcPr>
            <w:tcW w:w="2382" w:type="dxa"/>
          </w:tcPr>
          <w:p w:rsidR="00C73169" w:rsidRPr="00C7356F" w:rsidRDefault="00C73169" w:rsidP="00C7356F">
            <w:pPr>
              <w:pStyle w:val="TableParagraph"/>
              <w:ind w:left="20" w:right="47"/>
              <w:jc w:val="center"/>
              <w:rPr>
                <w:rFonts w:ascii="Times New Roman" w:eastAsia="Calibri" w:hAnsi="Times New Roman" w:cs="Times New Roman"/>
              </w:rPr>
            </w:pPr>
            <w:r w:rsidRPr="00C7356F">
              <w:rPr>
                <w:rFonts w:ascii="Times New Roman" w:eastAsia="Calibri" w:hAnsi="Times New Roman" w:cs="Times New Roman"/>
              </w:rPr>
              <w:t>5</w:t>
            </w:r>
          </w:p>
        </w:tc>
        <w:tc>
          <w:tcPr>
            <w:tcW w:w="2250" w:type="dxa"/>
          </w:tcPr>
          <w:p w:rsidR="00C73169" w:rsidRPr="00C7356F" w:rsidRDefault="00C73169" w:rsidP="00C7356F">
            <w:pPr>
              <w:pStyle w:val="TableParagraph"/>
              <w:ind w:left="20" w:right="47"/>
              <w:jc w:val="center"/>
              <w:rPr>
                <w:rFonts w:ascii="Times New Roman" w:eastAsia="Calibri" w:hAnsi="Times New Roman" w:cs="Times New Roman"/>
              </w:rPr>
            </w:pPr>
            <w:r w:rsidRPr="00C7356F">
              <w:rPr>
                <w:rFonts w:ascii="Times New Roman" w:eastAsia="Calibri" w:hAnsi="Times New Roman" w:cs="Times New Roman"/>
              </w:rPr>
              <w:t>6</w:t>
            </w:r>
          </w:p>
        </w:tc>
      </w:tr>
      <w:tr w:rsidR="00C73169" w:rsidRPr="00D74B3E" w:rsidTr="00AB48F1">
        <w:trPr>
          <w:trHeight w:hRule="exact" w:val="870"/>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hAnsi="Times New Roman" w:cs="Times New Roman"/>
                <w:b/>
              </w:rPr>
              <w:t>1</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 xml:space="preserve">SM EN 71-1+A1:2018 </w:t>
            </w:r>
          </w:p>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Siguranţajucăriilor. Partea 3: Migrareaanumitorelemente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C7356F" w:rsidRDefault="00C73169" w:rsidP="00D74B3E">
            <w:pPr>
              <w:jc w:val="both"/>
              <w:rPr>
                <w:rFonts w:ascii="Times New Roman" w:eastAsia="Times New Roman" w:hAnsi="Times New Roman" w:cs="Times New Roman"/>
                <w:lang w:eastAsia="en-GB"/>
              </w:rPr>
            </w:pPr>
            <w:r w:rsidRPr="00C7356F">
              <w:rPr>
                <w:rFonts w:ascii="Times New Roman" w:eastAsia="Times New Roman" w:hAnsi="Times New Roman" w:cs="Times New Roman"/>
                <w:lang w:eastAsia="en-GB"/>
              </w:rPr>
              <w:t xml:space="preserve">EN 71-1:2014+A1:2018 </w:t>
            </w:r>
            <w:r w:rsidRPr="00C7356F">
              <w:rPr>
                <w:rFonts w:ascii="Times New Roman" w:eastAsia="Times New Roman" w:hAnsi="Times New Roman" w:cs="Times New Roman"/>
                <w:bCs/>
                <w:lang w:eastAsia="en-GB"/>
              </w:rPr>
              <w:t>(new)</w:t>
            </w:r>
          </w:p>
          <w:p w:rsidR="00C73169" w:rsidRPr="00C7356F" w:rsidRDefault="00C73169" w:rsidP="00D74B3E">
            <w:pPr>
              <w:jc w:val="both"/>
              <w:rPr>
                <w:rFonts w:ascii="Times New Roman" w:eastAsia="Times New Roman" w:hAnsi="Times New Roman" w:cs="Times New Roman"/>
                <w:lang w:eastAsia="en-GB"/>
              </w:rPr>
            </w:pPr>
            <w:r w:rsidRPr="00C7356F">
              <w:rPr>
                <w:rFonts w:ascii="Times New Roman" w:eastAsia="Times New Roman" w:hAnsi="Times New Roman" w:cs="Times New Roman"/>
                <w:lang w:eastAsia="en-GB"/>
              </w:rPr>
              <w:t>Safety of toys - Part 1: Mechanical and physical properties</w:t>
            </w:r>
          </w:p>
          <w:p w:rsidR="00C73169" w:rsidRPr="00C7356F" w:rsidRDefault="00C73169" w:rsidP="00D74B3E">
            <w:pPr>
              <w:jc w:val="both"/>
              <w:rPr>
                <w:rFonts w:ascii="Times New Roman" w:eastAsia="Times New Roman" w:hAnsi="Times New Roman" w:cs="Times New Roman"/>
                <w:lang w:eastAsia="en-GB"/>
              </w:rPr>
            </w:pP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ED1C5A">
            <w:pPr>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71-1:2014</w:t>
            </w:r>
            <w:r w:rsidRPr="00D74B3E">
              <w:rPr>
                <w:rFonts w:ascii="Times New Roman" w:eastAsia="Times New Roman" w:hAnsi="Times New Roman" w:cs="Times New Roman"/>
                <w:lang w:eastAsia="en-GB"/>
              </w:rPr>
              <w:br/>
            </w:r>
            <w:hyperlink r:id="rId8" w:anchor="Note 2.1" w:history="1">
              <w:r w:rsidRPr="00D74B3E">
                <w:rPr>
                  <w:rFonts w:ascii="Times New Roman" w:eastAsia="Times New Roman" w:hAnsi="Times New Roman" w:cs="Times New Roman"/>
                  <w:lang w:eastAsia="en-GB"/>
                </w:rPr>
                <w:t>Nota 2</w:t>
              </w:r>
            </w:hyperlink>
          </w:p>
          <w:p w:rsidR="00C73169" w:rsidRPr="00D74B3E" w:rsidRDefault="00C73169" w:rsidP="00D74B3E">
            <w:pPr>
              <w:jc w:val="both"/>
              <w:rPr>
                <w:rFonts w:ascii="Times New Roman" w:eastAsia="Times New Roman" w:hAnsi="Times New Roman" w:cs="Times New Roman"/>
                <w:lang w:eastAsia="en-GB"/>
              </w:rPr>
            </w:pPr>
            <w:r w:rsidRPr="00D74B3E">
              <w:rPr>
                <w:rFonts w:ascii="Times New Roman" w:hAnsi="Times New Roman" w:cs="Times New Roman"/>
              </w:rPr>
              <w:t>SM EN 71-1:2016</w:t>
            </w:r>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28.02.2019</w:t>
            </w:r>
          </w:p>
        </w:tc>
      </w:tr>
      <w:tr w:rsidR="00C73169" w:rsidRPr="00D74B3E" w:rsidTr="00AB48F1">
        <w:trPr>
          <w:trHeight w:hRule="exact" w:val="1068"/>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hAnsi="Times New Roman" w:cs="Times New Roman"/>
                <w:b/>
              </w:rPr>
              <w:t>2</w:t>
            </w:r>
          </w:p>
        </w:tc>
        <w:tc>
          <w:tcPr>
            <w:tcW w:w="2041" w:type="dxa"/>
            <w:vAlign w:val="center"/>
          </w:tcPr>
          <w:p w:rsidR="00C73169" w:rsidRPr="00D74B3E" w:rsidRDefault="00C73169" w:rsidP="00D74B3E">
            <w:pPr>
              <w:jc w:val="both"/>
              <w:rPr>
                <w:rFonts w:ascii="Times New Roman" w:hAnsi="Times New Roman" w:cs="Times New Roman"/>
              </w:rPr>
            </w:pPr>
            <w:r w:rsidRPr="00D74B3E">
              <w:rPr>
                <w:rFonts w:ascii="Times New Roman" w:hAnsi="Times New Roman" w:cs="Times New Roman"/>
              </w:rPr>
              <w:t>SM EN 71-2+A1:2014</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hAnsi="Times New Roman" w:cs="Times New Roman"/>
              </w:rPr>
              <w:t>Securitateajucăriilor. Partea 2: Inflamabilitate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C7356F" w:rsidRDefault="00C73169" w:rsidP="00D74B3E">
            <w:pPr>
              <w:jc w:val="both"/>
              <w:rPr>
                <w:rFonts w:ascii="Times New Roman" w:eastAsia="Times New Roman" w:hAnsi="Times New Roman" w:cs="Times New Roman"/>
                <w:lang w:eastAsia="en-GB"/>
              </w:rPr>
            </w:pPr>
            <w:r w:rsidRPr="00C7356F">
              <w:rPr>
                <w:rFonts w:ascii="Times New Roman" w:eastAsia="Times New Roman" w:hAnsi="Times New Roman" w:cs="Times New Roman"/>
                <w:lang w:eastAsia="en-GB"/>
              </w:rPr>
              <w:t>EN 71-2:2011+A1:2014</w:t>
            </w:r>
          </w:p>
          <w:p w:rsidR="00C73169" w:rsidRPr="00C7356F" w:rsidRDefault="00C73169" w:rsidP="00D74B3E">
            <w:pPr>
              <w:jc w:val="both"/>
              <w:rPr>
                <w:rFonts w:ascii="Times New Roman" w:eastAsia="Times New Roman" w:hAnsi="Times New Roman" w:cs="Times New Roman"/>
                <w:lang w:eastAsia="en-GB"/>
              </w:rPr>
            </w:pPr>
            <w:r w:rsidRPr="00C7356F">
              <w:rPr>
                <w:rFonts w:ascii="Times New Roman" w:eastAsia="Times New Roman" w:hAnsi="Times New Roman" w:cs="Times New Roman"/>
                <w:lang w:eastAsia="en-GB"/>
              </w:rPr>
              <w:t>Safety of toys - Part 2: Flammability</w:t>
            </w:r>
          </w:p>
          <w:p w:rsidR="00C73169" w:rsidRPr="00C7356F" w:rsidRDefault="00C73169" w:rsidP="00D74B3E">
            <w:pPr>
              <w:jc w:val="both"/>
              <w:rPr>
                <w:rFonts w:ascii="Times New Roman" w:eastAsia="Times New Roman" w:hAnsi="Times New Roman" w:cs="Times New Roman"/>
                <w:lang w:eastAsia="en-GB"/>
              </w:rPr>
            </w:pPr>
            <w:r w:rsidRPr="00C7356F">
              <w:rPr>
                <w:rFonts w:ascii="Times New Roman" w:eastAsia="Times New Roman" w:hAnsi="Times New Roman" w:cs="Times New Roman"/>
                <w:lang w:eastAsia="en-GB"/>
              </w:rPr>
              <w:t xml:space="preserve">  </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ED1C5A">
            <w:pPr>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71-2:2011</w:t>
            </w:r>
            <w:r w:rsidRPr="00D74B3E">
              <w:rPr>
                <w:rFonts w:ascii="Times New Roman" w:eastAsia="Times New Roman" w:hAnsi="Times New Roman" w:cs="Times New Roman"/>
                <w:lang w:eastAsia="en-GB"/>
              </w:rPr>
              <w:br/>
            </w:r>
            <w:hyperlink r:id="rId9" w:anchor="Note 2.1" w:history="1">
              <w:r w:rsidRPr="00D74B3E">
                <w:rPr>
                  <w:rFonts w:ascii="Times New Roman" w:eastAsia="Times New Roman" w:hAnsi="Times New Roman" w:cs="Times New Roman"/>
                  <w:lang w:eastAsia="en-GB"/>
                </w:rPr>
                <w:t>Nota 2</w:t>
              </w:r>
            </w:hyperlink>
          </w:p>
          <w:p w:rsidR="00C73169" w:rsidRPr="00D74B3E" w:rsidRDefault="00C73169" w:rsidP="00ED1C5A">
            <w:pPr>
              <w:rPr>
                <w:rFonts w:ascii="Times New Roman" w:eastAsia="Times New Roman" w:hAnsi="Times New Roman" w:cs="Times New Roman"/>
                <w:lang w:eastAsia="en-GB"/>
              </w:rPr>
            </w:pPr>
            <w:r w:rsidRPr="00D74B3E">
              <w:rPr>
                <w:rFonts w:ascii="Times New Roman" w:hAnsi="Times New Roman" w:cs="Times New Roman"/>
              </w:rPr>
              <w:t>SM SR EN 71-2:2012</w:t>
            </w:r>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30.09.2014</w:t>
            </w:r>
          </w:p>
        </w:tc>
      </w:tr>
      <w:tr w:rsidR="00C73169" w:rsidRPr="00D74B3E" w:rsidTr="00AB48F1">
        <w:trPr>
          <w:trHeight w:hRule="exact" w:val="986"/>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hAnsi="Times New Roman" w:cs="Times New Roman"/>
                <w:b/>
              </w:rPr>
              <w:t>3</w:t>
            </w:r>
          </w:p>
        </w:tc>
        <w:tc>
          <w:tcPr>
            <w:tcW w:w="2041" w:type="dxa"/>
            <w:vAlign w:val="center"/>
          </w:tcPr>
          <w:p w:rsidR="00C73169" w:rsidRPr="00D74B3E" w:rsidRDefault="00C73169" w:rsidP="00D74B3E">
            <w:pPr>
              <w:jc w:val="both"/>
              <w:rPr>
                <w:rFonts w:ascii="Times New Roman" w:hAnsi="Times New Roman" w:cs="Times New Roman"/>
              </w:rPr>
            </w:pPr>
            <w:r w:rsidRPr="00D74B3E">
              <w:rPr>
                <w:rFonts w:ascii="Times New Roman" w:hAnsi="Times New Roman" w:cs="Times New Roman"/>
              </w:rPr>
              <w:t>SM EN 71-3+A3:2018</w:t>
            </w:r>
          </w:p>
        </w:tc>
        <w:tc>
          <w:tcPr>
            <w:tcW w:w="3018" w:type="dxa"/>
            <w:vAlign w:val="center"/>
          </w:tcPr>
          <w:p w:rsidR="00C73169" w:rsidRPr="00D74B3E" w:rsidRDefault="00C73169" w:rsidP="00D74B3E">
            <w:pPr>
              <w:jc w:val="both"/>
              <w:rPr>
                <w:rFonts w:ascii="Times New Roman" w:hAnsi="Times New Roman" w:cs="Times New Roman"/>
              </w:rPr>
            </w:pPr>
            <w:r w:rsidRPr="00D74B3E">
              <w:rPr>
                <w:rFonts w:ascii="Times New Roman" w:hAnsi="Times New Roman" w:cs="Times New Roman"/>
              </w:rPr>
              <w:t>Siguranţajucăriilor. Partea 3: Migrareaanumitorelemente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C7356F" w:rsidRDefault="00C73169" w:rsidP="00D74B3E">
            <w:pPr>
              <w:jc w:val="both"/>
              <w:rPr>
                <w:rFonts w:ascii="Times New Roman" w:eastAsia="Times New Roman" w:hAnsi="Times New Roman" w:cs="Times New Roman"/>
                <w:lang w:eastAsia="en-GB"/>
              </w:rPr>
            </w:pPr>
            <w:r w:rsidRPr="00C7356F">
              <w:rPr>
                <w:rFonts w:ascii="Times New Roman" w:eastAsia="Times New Roman" w:hAnsi="Times New Roman" w:cs="Times New Roman"/>
                <w:lang w:eastAsia="en-GB"/>
              </w:rPr>
              <w:t xml:space="preserve">EN 71-3:2013+A3:2018 </w:t>
            </w:r>
            <w:r w:rsidRPr="00C7356F">
              <w:rPr>
                <w:rFonts w:ascii="Times New Roman" w:eastAsia="Times New Roman" w:hAnsi="Times New Roman" w:cs="Times New Roman"/>
                <w:bCs/>
                <w:lang w:eastAsia="en-GB"/>
              </w:rPr>
              <w:t>(new)</w:t>
            </w:r>
          </w:p>
          <w:p w:rsidR="00C73169" w:rsidRPr="00C7356F" w:rsidRDefault="00C73169" w:rsidP="00C73169">
            <w:pPr>
              <w:jc w:val="both"/>
              <w:rPr>
                <w:rFonts w:ascii="Times New Roman" w:eastAsia="Times New Roman" w:hAnsi="Times New Roman" w:cs="Times New Roman"/>
                <w:lang w:eastAsia="en-GB"/>
              </w:rPr>
            </w:pPr>
            <w:r w:rsidRPr="00C7356F">
              <w:rPr>
                <w:rFonts w:ascii="Times New Roman" w:eastAsia="Times New Roman" w:hAnsi="Times New Roman" w:cs="Times New Roman"/>
                <w:lang w:eastAsia="en-GB"/>
              </w:rPr>
              <w:t>Safety of toys - Part 3: Migration of certain elements</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ED1C5A">
            <w:pPr>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71-3:2013+A1:2014</w:t>
            </w:r>
            <w:r w:rsidRPr="00D74B3E">
              <w:rPr>
                <w:rFonts w:ascii="Times New Roman" w:eastAsia="Times New Roman" w:hAnsi="Times New Roman" w:cs="Times New Roman"/>
                <w:lang w:eastAsia="en-GB"/>
              </w:rPr>
              <w:br/>
            </w:r>
            <w:hyperlink r:id="rId10" w:anchor="Note 2.1" w:history="1">
              <w:r w:rsidRPr="00D74B3E">
                <w:rPr>
                  <w:rFonts w:ascii="Times New Roman" w:eastAsia="Times New Roman" w:hAnsi="Times New Roman" w:cs="Times New Roman"/>
                  <w:lang w:eastAsia="en-GB"/>
                </w:rPr>
                <w:t>Nota 2</w:t>
              </w:r>
            </w:hyperlink>
          </w:p>
          <w:p w:rsidR="00C73169" w:rsidRPr="00D74B3E" w:rsidRDefault="00C73169" w:rsidP="00ED1C5A">
            <w:pPr>
              <w:rPr>
                <w:rFonts w:ascii="Times New Roman" w:eastAsia="Times New Roman" w:hAnsi="Times New Roman" w:cs="Times New Roman"/>
                <w:lang w:eastAsia="en-GB"/>
              </w:rPr>
            </w:pPr>
            <w:r w:rsidRPr="00D74B3E">
              <w:rPr>
                <w:rFonts w:ascii="Times New Roman" w:hAnsi="Times New Roman" w:cs="Times New Roman"/>
              </w:rPr>
              <w:t>SM EN 71-3+A1:2016</w:t>
            </w:r>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28.02.2019</w:t>
            </w:r>
          </w:p>
        </w:tc>
      </w:tr>
      <w:tr w:rsidR="00D74B3E" w:rsidRPr="00D74B3E" w:rsidTr="00AB48F1">
        <w:trPr>
          <w:trHeight w:hRule="exact" w:val="986"/>
        </w:trPr>
        <w:tc>
          <w:tcPr>
            <w:tcW w:w="14023" w:type="dxa"/>
            <w:gridSpan w:val="6"/>
          </w:tcPr>
          <w:p w:rsidR="00DB6757" w:rsidRPr="00ED1C5A" w:rsidRDefault="00B0355F" w:rsidP="009A7B9D">
            <w:pPr>
              <w:pStyle w:val="tbl-txt"/>
              <w:spacing w:before="0" w:beforeAutospacing="0" w:after="0" w:afterAutospacing="0"/>
              <w:jc w:val="both"/>
              <w:rPr>
                <w:rFonts w:ascii="&amp;quot" w:hAnsi="&amp;quot"/>
                <w:sz w:val="22"/>
                <w:szCs w:val="22"/>
              </w:rPr>
            </w:pPr>
            <w:r w:rsidRPr="00D74B3E">
              <w:rPr>
                <w:rFonts w:ascii="&amp;quot" w:hAnsi="&amp;quot"/>
                <w:sz w:val="22"/>
                <w:szCs w:val="22"/>
              </w:rPr>
              <w:t>Nota</w:t>
            </w:r>
            <w:r w:rsidR="00C73169">
              <w:rPr>
                <w:rFonts w:ascii="&amp;quot" w:hAnsi="&amp;quot"/>
                <w:sz w:val="22"/>
                <w:szCs w:val="22"/>
              </w:rPr>
              <w:t xml:space="preserve">: Pentru plumb, începând cu 28 </w:t>
            </w:r>
            <w:r w:rsidR="00DB6757" w:rsidRPr="00D74B3E">
              <w:rPr>
                <w:rFonts w:ascii="&amp;quot" w:hAnsi="&amp;quot"/>
                <w:sz w:val="22"/>
                <w:szCs w:val="22"/>
              </w:rPr>
              <w:t xml:space="preserve">octombrie 2018, valorilelimitelor de migraresunturmătoarele: 2,0 mg/kg înmaterialuluscat, friabil, sfărâmiciossauflexibil al jucăriei; 0,5 mg/kg înmaterialullichidsaulipicios al jucăriei; 23mg/kg înmaterialulrăzuit al jucăriei. </w:t>
            </w:r>
          </w:p>
          <w:p w:rsidR="00DB6757" w:rsidRPr="00D74B3E" w:rsidRDefault="00DB6757" w:rsidP="009A7B9D">
            <w:pPr>
              <w:pStyle w:val="tbl-txt"/>
              <w:spacing w:before="0" w:beforeAutospacing="0" w:after="0" w:afterAutospacing="0"/>
              <w:jc w:val="both"/>
              <w:rPr>
                <w:rFonts w:eastAsia="Calibri"/>
              </w:rPr>
            </w:pPr>
            <w:r w:rsidRPr="00D74B3E">
              <w:rPr>
                <w:rFonts w:ascii="&amp;quot" w:hAnsi="&amp;quot"/>
                <w:sz w:val="22"/>
                <w:szCs w:val="22"/>
              </w:rPr>
              <w:t>Nota: Pentrucrom (VI), începând cu 18noiembrie 2019, valorilelimitelor de migraresunturmătoarele: 0,02 mg/kg înmaterialuluscat, friabil, sfărâmicioss</w:t>
            </w:r>
            <w:r w:rsidR="009A7B9D">
              <w:rPr>
                <w:rFonts w:ascii="&amp;quot" w:hAnsi="&amp;quot"/>
                <w:sz w:val="22"/>
                <w:szCs w:val="22"/>
              </w:rPr>
              <w:t xml:space="preserve">auflexibil al jucăriei; 0,005 </w:t>
            </w:r>
            <w:r w:rsidRPr="00D74B3E">
              <w:rPr>
                <w:rFonts w:ascii="&amp;quot" w:hAnsi="&amp;quot"/>
                <w:sz w:val="22"/>
                <w:szCs w:val="22"/>
              </w:rPr>
              <w:t>mg/kg înmaterialullichids</w:t>
            </w:r>
            <w:r w:rsidR="009A7B9D">
              <w:rPr>
                <w:rFonts w:ascii="&amp;quot" w:hAnsi="&amp;quot"/>
                <w:sz w:val="22"/>
                <w:szCs w:val="22"/>
              </w:rPr>
              <w:t xml:space="preserve">aulipicios al jucăriei; 0,053 </w:t>
            </w:r>
            <w:r w:rsidRPr="00D74B3E">
              <w:rPr>
                <w:rFonts w:ascii="&amp;quot" w:hAnsi="&amp;quot"/>
                <w:sz w:val="22"/>
                <w:szCs w:val="22"/>
              </w:rPr>
              <w:t>mg/kg în</w:t>
            </w:r>
            <w:r w:rsidR="009275D4">
              <w:rPr>
                <w:rFonts w:ascii="&amp;quot" w:hAnsi="&amp;quot"/>
                <w:sz w:val="22"/>
                <w:szCs w:val="22"/>
              </w:rPr>
              <w:t>materialulrăzuit al jucăriei.</w:t>
            </w:r>
          </w:p>
        </w:tc>
      </w:tr>
      <w:tr w:rsidR="00C73169" w:rsidRPr="00D74B3E" w:rsidTr="00AB48F1">
        <w:trPr>
          <w:trHeight w:hRule="exact" w:val="896"/>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hAnsi="Times New Roman" w:cs="Times New Roman"/>
                <w:b/>
              </w:rPr>
              <w:t>4</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9A7B9D">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SM EN 71-4:2014</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hAnsi="Times New Roman" w:cs="Times New Roman"/>
              </w:rPr>
              <w:t>Securitateajucăriilor. Partea 4: Trusepentruexperienţechimiceşiactivităţiconexe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71-4:2013</w:t>
            </w:r>
          </w:p>
          <w:p w:rsidR="00C73169" w:rsidRPr="00D74B3E" w:rsidRDefault="00C73169" w:rsidP="00C73169">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Safety of toys - Part 4: Experimental sets for chemistry and related activities</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 </w:t>
            </w:r>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p>
        </w:tc>
      </w:tr>
      <w:tr w:rsidR="00C73169" w:rsidRPr="00D74B3E" w:rsidTr="00AB48F1">
        <w:trPr>
          <w:trHeight w:hRule="exact" w:val="914"/>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hAnsi="Times New Roman" w:cs="Times New Roman"/>
                <w:b/>
              </w:rPr>
              <w:t>5</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9A7B9D">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SM EN 71-5:2016</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Siguranţajucăriilor. Partea 5: Jocurichimice (seturi) alteledecîttruselepentruexperienţechimice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C7356F" w:rsidRDefault="00C73169" w:rsidP="00D74B3E">
            <w:pPr>
              <w:jc w:val="both"/>
              <w:rPr>
                <w:rFonts w:ascii="Times New Roman" w:eastAsia="Times New Roman" w:hAnsi="Times New Roman" w:cs="Times New Roman"/>
                <w:lang w:eastAsia="en-GB"/>
              </w:rPr>
            </w:pPr>
            <w:r w:rsidRPr="00C7356F">
              <w:rPr>
                <w:rFonts w:ascii="Times New Roman" w:eastAsia="Times New Roman" w:hAnsi="Times New Roman" w:cs="Times New Roman"/>
                <w:lang w:eastAsia="en-GB"/>
              </w:rPr>
              <w:t>EN 71-5:2015</w:t>
            </w:r>
          </w:p>
          <w:p w:rsidR="00C73169" w:rsidRPr="00C7356F" w:rsidRDefault="00C73169" w:rsidP="00D74B3E">
            <w:pPr>
              <w:jc w:val="both"/>
              <w:rPr>
                <w:rFonts w:ascii="Times New Roman" w:eastAsia="Times New Roman" w:hAnsi="Times New Roman" w:cs="Times New Roman"/>
                <w:lang w:eastAsia="en-GB"/>
              </w:rPr>
            </w:pPr>
            <w:r w:rsidRPr="00C7356F">
              <w:rPr>
                <w:rFonts w:ascii="Times New Roman" w:eastAsia="Times New Roman" w:hAnsi="Times New Roman" w:cs="Times New Roman"/>
                <w:lang w:eastAsia="en-GB"/>
              </w:rPr>
              <w:t>Safety of toys - Part 5: Chemical toys (sets) other than experimental sets</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3D5ACC">
            <w:pPr>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71-5:2013</w:t>
            </w:r>
            <w:r w:rsidRPr="00D74B3E">
              <w:rPr>
                <w:rFonts w:ascii="Times New Roman" w:eastAsia="Times New Roman" w:hAnsi="Times New Roman" w:cs="Times New Roman"/>
                <w:lang w:eastAsia="en-GB"/>
              </w:rPr>
              <w:br/>
            </w:r>
            <w:hyperlink r:id="rId11" w:anchor="Note 2.1" w:history="1">
              <w:r w:rsidRPr="00D74B3E">
                <w:rPr>
                  <w:rFonts w:ascii="Times New Roman" w:eastAsia="Times New Roman" w:hAnsi="Times New Roman" w:cs="Times New Roman"/>
                  <w:lang w:eastAsia="en-GB"/>
                </w:rPr>
                <w:t>Nota 2</w:t>
              </w:r>
            </w:hyperlink>
          </w:p>
          <w:p w:rsidR="00C73169" w:rsidRPr="00D74B3E" w:rsidRDefault="00C73169" w:rsidP="003D5ACC">
            <w:pPr>
              <w:rPr>
                <w:rFonts w:ascii="Times New Roman" w:eastAsia="Times New Roman" w:hAnsi="Times New Roman" w:cs="Times New Roman"/>
                <w:lang w:eastAsia="en-GB"/>
              </w:rPr>
            </w:pPr>
            <w:r w:rsidRPr="00D74B3E">
              <w:rPr>
                <w:rFonts w:ascii="Times New Roman" w:hAnsi="Times New Roman" w:cs="Times New Roman"/>
              </w:rPr>
              <w:t>SM SR EN 71-5:2014</w:t>
            </w:r>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31.05.2016</w:t>
            </w:r>
          </w:p>
        </w:tc>
      </w:tr>
      <w:tr w:rsidR="00C73169" w:rsidRPr="00D74B3E" w:rsidTr="00AB48F1">
        <w:trPr>
          <w:trHeight w:hRule="exact" w:val="824"/>
        </w:trPr>
        <w:tc>
          <w:tcPr>
            <w:tcW w:w="462" w:type="dxa"/>
          </w:tcPr>
          <w:p w:rsidR="00C73169" w:rsidRPr="00D74B3E" w:rsidRDefault="00C73169" w:rsidP="00D74B3E">
            <w:pPr>
              <w:pStyle w:val="TableParagraph"/>
              <w:spacing w:before="1"/>
              <w:ind w:left="20"/>
              <w:jc w:val="both"/>
              <w:rPr>
                <w:rFonts w:ascii="Times New Roman" w:eastAsia="Calibri" w:hAnsi="Times New Roman" w:cs="Times New Roman"/>
                <w:b/>
              </w:rPr>
            </w:pPr>
            <w:r w:rsidRPr="00D74B3E">
              <w:rPr>
                <w:rFonts w:ascii="Times New Roman" w:hAnsi="Times New Roman" w:cs="Times New Roman"/>
                <w:b/>
              </w:rPr>
              <w:lastRenderedPageBreak/>
              <w:t>6</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9A7B9D">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SM EN 71-7+A2:2018</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Securitateajucăriilor. Partea 7: Vopselepentrupictarea cu degetul. Cerinţeşimetode de încercare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C7356F" w:rsidRDefault="00C73169" w:rsidP="00D74B3E">
            <w:pPr>
              <w:jc w:val="both"/>
              <w:rPr>
                <w:rFonts w:ascii="Times New Roman" w:eastAsia="Times New Roman" w:hAnsi="Times New Roman" w:cs="Times New Roman"/>
                <w:lang w:eastAsia="en-GB"/>
              </w:rPr>
            </w:pPr>
            <w:r w:rsidRPr="00C7356F">
              <w:rPr>
                <w:rFonts w:ascii="Times New Roman" w:eastAsia="Times New Roman" w:hAnsi="Times New Roman" w:cs="Times New Roman"/>
                <w:lang w:eastAsia="en-GB"/>
              </w:rPr>
              <w:t xml:space="preserve">EN 71-7:2014+A2:2018 </w:t>
            </w:r>
            <w:r w:rsidRPr="00C7356F">
              <w:rPr>
                <w:rFonts w:ascii="Times New Roman" w:eastAsia="Times New Roman" w:hAnsi="Times New Roman" w:cs="Times New Roman"/>
                <w:bCs/>
                <w:lang w:eastAsia="en-GB"/>
              </w:rPr>
              <w:t>(new)</w:t>
            </w:r>
          </w:p>
          <w:p w:rsidR="00C73169" w:rsidRPr="00C7356F" w:rsidRDefault="00C73169" w:rsidP="00C73169">
            <w:pPr>
              <w:jc w:val="both"/>
              <w:rPr>
                <w:rFonts w:ascii="Times New Roman" w:eastAsia="Times New Roman" w:hAnsi="Times New Roman" w:cs="Times New Roman"/>
                <w:lang w:eastAsia="en-GB"/>
              </w:rPr>
            </w:pPr>
            <w:r w:rsidRPr="00C7356F">
              <w:rPr>
                <w:rFonts w:ascii="Times New Roman" w:eastAsia="Times New Roman" w:hAnsi="Times New Roman" w:cs="Times New Roman"/>
                <w:lang w:eastAsia="en-GB"/>
              </w:rPr>
              <w:t>Safety of toys - Part 7: Finger paints - Requirements and test methods</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C73169">
            <w:pPr>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71-7:2014</w:t>
            </w:r>
            <w:r w:rsidRPr="00D74B3E">
              <w:rPr>
                <w:rFonts w:ascii="Times New Roman" w:eastAsia="Times New Roman" w:hAnsi="Times New Roman" w:cs="Times New Roman"/>
                <w:lang w:eastAsia="en-GB"/>
              </w:rPr>
              <w:br/>
            </w:r>
            <w:hyperlink r:id="rId12" w:anchor="Note 2.1" w:history="1">
              <w:r w:rsidRPr="00D74B3E">
                <w:rPr>
                  <w:rFonts w:ascii="Times New Roman" w:eastAsia="Times New Roman" w:hAnsi="Times New Roman" w:cs="Times New Roman"/>
                  <w:lang w:eastAsia="en-GB"/>
                </w:rPr>
                <w:t>Nota 2</w:t>
              </w:r>
            </w:hyperlink>
          </w:p>
          <w:p w:rsidR="00C73169" w:rsidRPr="00D74B3E" w:rsidRDefault="00C73169" w:rsidP="00C73169">
            <w:pPr>
              <w:jc w:val="both"/>
              <w:rPr>
                <w:rFonts w:ascii="Times New Roman" w:eastAsia="Times New Roman" w:hAnsi="Times New Roman" w:cs="Times New Roman"/>
                <w:lang w:eastAsia="en-GB"/>
              </w:rPr>
            </w:pPr>
            <w:r w:rsidRPr="00D74B3E">
              <w:rPr>
                <w:rFonts w:ascii="Times New Roman" w:hAnsi="Times New Roman" w:cs="Times New Roman"/>
              </w:rPr>
              <w:t>SM EN 71-7:2014</w:t>
            </w:r>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C73169">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28.02.2019</w:t>
            </w:r>
          </w:p>
        </w:tc>
      </w:tr>
      <w:tr w:rsidR="00D74B3E" w:rsidRPr="00D74B3E" w:rsidTr="00AB48F1">
        <w:trPr>
          <w:trHeight w:hRule="exact" w:val="2184"/>
        </w:trPr>
        <w:tc>
          <w:tcPr>
            <w:tcW w:w="14023" w:type="dxa"/>
            <w:gridSpan w:val="6"/>
            <w:tcBorders>
              <w:right w:val="outset" w:sz="6" w:space="0" w:color="auto"/>
            </w:tcBorders>
          </w:tcPr>
          <w:p w:rsidR="009275D4" w:rsidRDefault="00DB6757" w:rsidP="009A7B9D">
            <w:pPr>
              <w:pStyle w:val="tbl-txt"/>
              <w:spacing w:before="0" w:beforeAutospacing="0" w:after="0" w:afterAutospacing="0"/>
              <w:jc w:val="both"/>
              <w:rPr>
                <w:rFonts w:ascii="&amp;quot" w:hAnsi="&amp;quot"/>
                <w:sz w:val="22"/>
                <w:szCs w:val="22"/>
              </w:rPr>
            </w:pPr>
            <w:r w:rsidRPr="00D74B3E">
              <w:rPr>
                <w:rFonts w:ascii="&amp;quot" w:hAnsi="&amp;quot"/>
                <w:sz w:val="22"/>
                <w:szCs w:val="22"/>
              </w:rPr>
              <w:t xml:space="preserve">Nota: </w:t>
            </w:r>
            <w:r w:rsidRPr="009A7B9D">
              <w:rPr>
                <w:sz w:val="22"/>
                <w:szCs w:val="22"/>
              </w:rPr>
              <w:t>Î</w:t>
            </w:r>
            <w:r w:rsidRPr="00D74B3E">
              <w:rPr>
                <w:rFonts w:ascii="&amp;quot" w:hAnsi="&amp;quot"/>
                <w:sz w:val="22"/>
                <w:szCs w:val="22"/>
              </w:rPr>
              <w:t>nceea</w:t>
            </w:r>
            <w:r w:rsidR="003D5ACC">
              <w:rPr>
                <w:rFonts w:ascii="&amp;quot" w:hAnsi="&amp;quot"/>
                <w:sz w:val="22"/>
                <w:szCs w:val="22"/>
              </w:rPr>
              <w:t>ceeace</w:t>
            </w:r>
            <w:r w:rsidRPr="00D74B3E">
              <w:rPr>
                <w:rFonts w:ascii="&amp;quot" w:hAnsi="&amp;quot"/>
                <w:sz w:val="22"/>
                <w:szCs w:val="22"/>
              </w:rPr>
              <w:t>priveșteconservantulautorizat „climbazol” (rubrica 22 din tabelul B.1 din anexa B la standardul EN 71-7:2014+A2:2018), prezumția de conformitate se aplicăpână la concent</w:t>
            </w:r>
            <w:r w:rsidR="009A7B9D">
              <w:rPr>
                <w:rFonts w:ascii="&amp;quot" w:hAnsi="&amp;quot"/>
                <w:sz w:val="22"/>
                <w:szCs w:val="22"/>
              </w:rPr>
              <w:t xml:space="preserve">rațiamaximăautorizată de 0,2 % (nu de 0,5 </w:t>
            </w:r>
            <w:r w:rsidRPr="00D74B3E">
              <w:rPr>
                <w:rFonts w:ascii="&amp;quot" w:hAnsi="&amp;quot"/>
                <w:sz w:val="22"/>
                <w:szCs w:val="22"/>
              </w:rPr>
              <w:t>%). Aceastăvaloare se bazeazăpedocumentul</w:t>
            </w:r>
            <w:r w:rsidR="003D5ACC">
              <w:rPr>
                <w:rFonts w:asciiTheme="minorHAnsi" w:hAnsiTheme="minorHAnsi"/>
                <w:sz w:val="22"/>
                <w:szCs w:val="22"/>
                <w:lang w:val="ro-RO"/>
              </w:rPr>
              <w:t>î</w:t>
            </w:r>
            <w:r w:rsidRPr="00D74B3E">
              <w:rPr>
                <w:rFonts w:ascii="&amp;quot" w:hAnsi="&amp;quot"/>
                <w:sz w:val="22"/>
                <w:szCs w:val="22"/>
              </w:rPr>
              <w:t>ntitulat „ADDENDUM to the Opinion on Climbazole (P64) ref. SCCS/1506/13”, adoptat de Comitetulștiințificpentrusiguranțaconsumatorilor (CSSC) dupăpublicareastandardului de cătreComitetul European de Standardizare</w:t>
            </w:r>
            <w:r w:rsidR="009275D4">
              <w:rPr>
                <w:rFonts w:ascii="&amp;quot" w:hAnsi="&amp;quot"/>
                <w:sz w:val="22"/>
                <w:szCs w:val="22"/>
              </w:rPr>
              <w:t>.</w:t>
            </w:r>
          </w:p>
          <w:p w:rsidR="00DB6757" w:rsidRPr="00D74B3E" w:rsidRDefault="00DB6757" w:rsidP="009A7B9D">
            <w:pPr>
              <w:pStyle w:val="tbl-txt"/>
              <w:spacing w:before="0" w:beforeAutospacing="0" w:after="0" w:afterAutospacing="0"/>
              <w:jc w:val="both"/>
            </w:pPr>
            <w:r w:rsidRPr="00D74B3E">
              <w:rPr>
                <w:sz w:val="22"/>
                <w:szCs w:val="22"/>
              </w:rPr>
              <w:t xml:space="preserve">Nota: </w:t>
            </w:r>
            <w:r w:rsidRPr="003D5ACC">
              <w:rPr>
                <w:sz w:val="22"/>
                <w:szCs w:val="22"/>
              </w:rPr>
              <w:t>Conservanții permiși: (a) amestec de 5-Cloro-2-metil-izotiazol-3(2H)-onăși 2-metilizotiazol-3(2H)-onă cu clorură de magneziu și nitrat de magneziu; și (b) 2-metilizotiazol-3(2H)-onă (MIT) (rubricile 31 și 32 din standardul înlocuit EN 71-7:2</w:t>
            </w:r>
            <w:r w:rsidR="009A7B9D">
              <w:rPr>
                <w:sz w:val="22"/>
                <w:szCs w:val="22"/>
              </w:rPr>
              <w:t xml:space="preserve">014) au fost limitați la: (a) 1 </w:t>
            </w:r>
            <w:r w:rsidRPr="003D5ACC">
              <w:rPr>
                <w:sz w:val="22"/>
                <w:szCs w:val="22"/>
              </w:rPr>
              <w:t>mg/kg (lim</w:t>
            </w:r>
            <w:r w:rsidR="009A7B9D">
              <w:rPr>
                <w:sz w:val="22"/>
                <w:szCs w:val="22"/>
              </w:rPr>
              <w:t xml:space="preserve">ita conținutului); și (b) 0,25 </w:t>
            </w:r>
            <w:r w:rsidRPr="003D5ACC">
              <w:rPr>
                <w:sz w:val="22"/>
                <w:szCs w:val="22"/>
              </w:rPr>
              <w:t>mg/kg (limita conținutului) î</w:t>
            </w:r>
            <w:r w:rsidR="009275D4">
              <w:rPr>
                <w:sz w:val="22"/>
                <w:szCs w:val="22"/>
              </w:rPr>
              <w:t xml:space="preserve">n soluțiile apoase pentru joacă. </w:t>
            </w:r>
            <w:r w:rsidRPr="003D5ACC">
              <w:rPr>
                <w:sz w:val="22"/>
                <w:szCs w:val="22"/>
              </w:rPr>
              <w:t>Ambele limite ale conțin</w:t>
            </w:r>
            <w:r w:rsidR="009A7B9D">
              <w:rPr>
                <w:sz w:val="22"/>
                <w:szCs w:val="22"/>
              </w:rPr>
              <w:t xml:space="preserve">utului sunt aplicabile de la 24 </w:t>
            </w:r>
            <w:r w:rsidRPr="003D5ACC">
              <w:rPr>
                <w:sz w:val="22"/>
                <w:szCs w:val="22"/>
              </w:rPr>
              <w:t>noiembrie 2017. Prin urmare, standardul înlocuit nu mai conferă prezumția de conformitate în cazul acestor doi conservanți.</w:t>
            </w:r>
          </w:p>
        </w:tc>
      </w:tr>
      <w:tr w:rsidR="00C73169" w:rsidRPr="00D74B3E" w:rsidTr="00AB48F1">
        <w:trPr>
          <w:trHeight w:hRule="exact" w:val="878"/>
        </w:trPr>
        <w:tc>
          <w:tcPr>
            <w:tcW w:w="462" w:type="dxa"/>
          </w:tcPr>
          <w:p w:rsidR="00C73169" w:rsidRPr="00D74B3E" w:rsidRDefault="00C73169" w:rsidP="00D74B3E">
            <w:pPr>
              <w:pStyle w:val="TableParagraph"/>
              <w:spacing w:before="1"/>
              <w:ind w:left="20"/>
              <w:jc w:val="both"/>
              <w:rPr>
                <w:rFonts w:ascii="Times New Roman" w:eastAsia="Calibri" w:hAnsi="Times New Roman" w:cs="Times New Roman"/>
                <w:b/>
              </w:rPr>
            </w:pPr>
            <w:r w:rsidRPr="00D74B3E">
              <w:rPr>
                <w:rFonts w:ascii="Times New Roman" w:hAnsi="Times New Roman" w:cs="Times New Roman"/>
                <w:b/>
              </w:rPr>
              <w:t>7</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9A7B9D">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SM EN 71-8:2018</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Securitateajucăriilor. Partea 8: Jucării de activitatepentruuzcasnic</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C7356F" w:rsidRDefault="00C73169" w:rsidP="00D74B3E">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71</w:t>
            </w:r>
            <w:r w:rsidRPr="00C7356F">
              <w:rPr>
                <w:rFonts w:ascii="Times New Roman" w:eastAsia="Times New Roman" w:hAnsi="Times New Roman" w:cs="Times New Roman"/>
                <w:lang w:eastAsia="en-GB"/>
              </w:rPr>
              <w:t xml:space="preserve">-8:2018 </w:t>
            </w:r>
            <w:r w:rsidRPr="00C7356F">
              <w:rPr>
                <w:rFonts w:ascii="Times New Roman" w:eastAsia="Times New Roman" w:hAnsi="Times New Roman" w:cs="Times New Roman"/>
                <w:bCs/>
                <w:lang w:eastAsia="en-GB"/>
              </w:rPr>
              <w:t>(new)</w:t>
            </w:r>
          </w:p>
          <w:p w:rsidR="00C73169" w:rsidRPr="00D74B3E" w:rsidRDefault="00C73169" w:rsidP="00C73169">
            <w:pPr>
              <w:jc w:val="both"/>
              <w:rPr>
                <w:rFonts w:ascii="Times New Roman" w:eastAsia="Times New Roman" w:hAnsi="Times New Roman" w:cs="Times New Roman"/>
                <w:lang w:eastAsia="en-GB"/>
              </w:rPr>
            </w:pPr>
            <w:r w:rsidRPr="00C7356F">
              <w:rPr>
                <w:rFonts w:ascii="Times New Roman" w:eastAsia="Times New Roman" w:hAnsi="Times New Roman" w:cs="Times New Roman"/>
                <w:lang w:eastAsia="en-GB"/>
              </w:rPr>
              <w:t>Safety of toys - Part 8: Activity toys for domestic use</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9A7B9D" w:rsidP="00D74B3E">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EN 71-8:2011</w:t>
            </w:r>
          </w:p>
          <w:p w:rsidR="00C73169" w:rsidRPr="00D74B3E" w:rsidRDefault="00C73169" w:rsidP="00D74B3E">
            <w:pPr>
              <w:jc w:val="both"/>
              <w:rPr>
                <w:rFonts w:ascii="Times New Roman" w:eastAsia="Times New Roman" w:hAnsi="Times New Roman" w:cs="Times New Roman"/>
                <w:lang w:eastAsia="en-GB"/>
              </w:rPr>
            </w:pPr>
            <w:r w:rsidRPr="00D74B3E">
              <w:rPr>
                <w:rFonts w:ascii="Times New Roman" w:hAnsi="Times New Roman" w:cs="Times New Roman"/>
              </w:rPr>
              <w:t>SM SR EN 71-8:2014</w:t>
            </w:r>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9A7B9D">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28.02.2019</w:t>
            </w:r>
          </w:p>
        </w:tc>
      </w:tr>
      <w:tr w:rsidR="00C73169" w:rsidRPr="00D74B3E" w:rsidTr="00AB48F1">
        <w:trPr>
          <w:trHeight w:hRule="exact" w:val="896"/>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hAnsi="Times New Roman" w:cs="Times New Roman"/>
                <w:b/>
              </w:rPr>
              <w:t>8</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9A7B9D">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SM EN 71-12:2014</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hAnsi="Times New Roman" w:cs="Times New Roman"/>
              </w:rPr>
              <w:t>Siguranţajucăriilor.Partea 12: N-Nitrozamineşisubstanţe N-nitrozabile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71-12:2013</w:t>
            </w:r>
          </w:p>
          <w:p w:rsidR="00C73169" w:rsidRPr="00D74B3E" w:rsidRDefault="00C73169" w:rsidP="00C73169">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 xml:space="preserve">Safety of toys - Part 12: N-Nitrosamines and N-nitrosatable substances </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jc w:val="both"/>
              <w:rPr>
                <w:rFonts w:ascii="Times New Roman" w:eastAsia="Times New Roman" w:hAnsi="Times New Roman" w:cs="Times New Roman"/>
                <w:lang w:eastAsia="en-GB"/>
              </w:rPr>
            </w:pPr>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p>
        </w:tc>
      </w:tr>
      <w:tr w:rsidR="00C73169" w:rsidRPr="00D74B3E" w:rsidTr="00AB48F1">
        <w:trPr>
          <w:trHeight w:hRule="exact" w:val="896"/>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hAnsi="Times New Roman" w:cs="Times New Roman"/>
                <w:b/>
              </w:rPr>
              <w:t>9</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9A7B9D">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SM EN 71-13:2014</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Securitateajucăriilor. Partea 13: Jocuri de masăolfactive, kituricosmeticeşijocuri gustative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71-13:2014</w:t>
            </w:r>
          </w:p>
          <w:p w:rsidR="00C73169" w:rsidRPr="00D74B3E" w:rsidRDefault="00C73169" w:rsidP="00C73169">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Safety of toys - Part 13: Olfactory board games, cosmetic kits and gustative games</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jc w:val="both"/>
              <w:rPr>
                <w:rFonts w:ascii="Times New Roman" w:eastAsia="Times New Roman" w:hAnsi="Times New Roman" w:cs="Times New Roman"/>
                <w:lang w:eastAsia="en-GB"/>
              </w:rPr>
            </w:pPr>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p>
        </w:tc>
      </w:tr>
      <w:tr w:rsidR="00C73169" w:rsidRPr="00D74B3E" w:rsidTr="00AB48F1">
        <w:trPr>
          <w:trHeight w:hRule="exact" w:val="887"/>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hAnsi="Times New Roman" w:cs="Times New Roman"/>
                <w:b/>
              </w:rPr>
              <w:t>10</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9A7B9D">
            <w:pPr>
              <w:spacing w:before="100" w:beforeAutospacing="1" w:after="100" w:afterAutospacing="1"/>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SMEN</w:t>
            </w:r>
            <w:r w:rsidRPr="00D74B3E">
              <w:rPr>
                <w:rFonts w:ascii="Times New Roman" w:eastAsia="Times New Roman" w:hAnsi="Times New Roman" w:cs="Times New Roman"/>
                <w:lang w:val="ru-RU" w:eastAsia="en-GB"/>
              </w:rPr>
              <w:t xml:space="preserve"> 71-14+</w:t>
            </w:r>
            <w:r w:rsidRPr="00D74B3E">
              <w:rPr>
                <w:rFonts w:ascii="Times New Roman" w:eastAsia="Times New Roman" w:hAnsi="Times New Roman" w:cs="Times New Roman"/>
                <w:lang w:eastAsia="en-GB"/>
              </w:rPr>
              <w:t>A</w:t>
            </w:r>
            <w:r w:rsidRPr="00D74B3E">
              <w:rPr>
                <w:rFonts w:ascii="Times New Roman" w:eastAsia="Times New Roman" w:hAnsi="Times New Roman" w:cs="Times New Roman"/>
                <w:lang w:val="ru-RU" w:eastAsia="en-GB"/>
              </w:rPr>
              <w:t>1:2018</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hAnsi="Times New Roman" w:cs="Times New Roman"/>
              </w:rPr>
              <w:t>Siguranţajucăriilor. Partea 14: Trambuline de uzcasnic</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C7356F" w:rsidRDefault="00C73169" w:rsidP="00D74B3E">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71-14:2014+A1:</w:t>
            </w:r>
            <w:r w:rsidRPr="00C7356F">
              <w:rPr>
                <w:rFonts w:ascii="Times New Roman" w:eastAsia="Times New Roman" w:hAnsi="Times New Roman" w:cs="Times New Roman"/>
                <w:lang w:eastAsia="en-GB"/>
              </w:rPr>
              <w:t xml:space="preserve">2017 </w:t>
            </w:r>
            <w:r w:rsidRPr="00C7356F">
              <w:rPr>
                <w:rFonts w:ascii="Times New Roman" w:eastAsia="Times New Roman" w:hAnsi="Times New Roman" w:cs="Times New Roman"/>
                <w:bCs/>
                <w:lang w:eastAsia="en-GB"/>
              </w:rPr>
              <w:t>(new)</w:t>
            </w:r>
          </w:p>
          <w:p w:rsidR="00C73169" w:rsidRPr="00D74B3E" w:rsidRDefault="00C73169" w:rsidP="00C73169">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Safety of toys - Part 14: Trampolines for domestic use</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Default="00C73169" w:rsidP="00C73169">
            <w:pPr>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71-14:2014</w:t>
            </w:r>
            <w:r w:rsidRPr="00D74B3E">
              <w:rPr>
                <w:rFonts w:ascii="Times New Roman" w:eastAsia="Times New Roman" w:hAnsi="Times New Roman" w:cs="Times New Roman"/>
                <w:lang w:eastAsia="en-GB"/>
              </w:rPr>
              <w:br/>
            </w:r>
            <w:hyperlink r:id="rId13" w:anchor="Note 2.1" w:history="1">
              <w:r w:rsidRPr="00D74B3E">
                <w:rPr>
                  <w:rFonts w:ascii="Times New Roman" w:eastAsia="Times New Roman" w:hAnsi="Times New Roman" w:cs="Times New Roman"/>
                  <w:lang w:eastAsia="en-GB"/>
                </w:rPr>
                <w:t>Nota 2</w:t>
              </w:r>
            </w:hyperlink>
          </w:p>
          <w:p w:rsidR="00C73169" w:rsidRPr="00D74B3E" w:rsidRDefault="00C73169" w:rsidP="00C73169">
            <w:pPr>
              <w:rPr>
                <w:rFonts w:ascii="Times New Roman" w:eastAsia="Times New Roman" w:hAnsi="Times New Roman" w:cs="Times New Roman"/>
                <w:lang w:eastAsia="en-GB"/>
              </w:rPr>
            </w:pPr>
            <w:r w:rsidRPr="00D74B3E">
              <w:rPr>
                <w:rFonts w:ascii="Times New Roman" w:hAnsi="Times New Roman" w:cs="Times New Roman"/>
              </w:rPr>
              <w:t>SM EN 71-14:2016</w:t>
            </w:r>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9A7B9D" w:rsidP="00D74B3E">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28.02.2019</w:t>
            </w:r>
          </w:p>
        </w:tc>
      </w:tr>
      <w:tr w:rsidR="00C73169" w:rsidRPr="00D74B3E" w:rsidTr="00AB48F1">
        <w:trPr>
          <w:trHeight w:hRule="exact" w:val="645"/>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hAnsi="Times New Roman" w:cs="Times New Roman"/>
                <w:b/>
              </w:rPr>
              <w:t>11</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9A7B9D">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SM EN 62115:2010</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Jucăriielectrice. Securitate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62115:2005</w:t>
            </w:r>
          </w:p>
          <w:p w:rsidR="00C73169" w:rsidRPr="00D74B3E" w:rsidRDefault="00C73169" w:rsidP="00C73169">
            <w:pPr>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Electric toys - Safety</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jc w:val="both"/>
              <w:rPr>
                <w:rFonts w:ascii="Times New Roman" w:eastAsia="Times New Roman" w:hAnsi="Times New Roman" w:cs="Times New Roman"/>
                <w:lang w:eastAsia="en-GB"/>
              </w:rPr>
            </w:pPr>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p>
        </w:tc>
      </w:tr>
      <w:tr w:rsidR="00C73169" w:rsidRPr="00D74B3E" w:rsidTr="00AB48F1">
        <w:trPr>
          <w:trHeight w:hRule="exact" w:val="645"/>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hAnsi="Times New Roman" w:cs="Times New Roman"/>
                <w:b/>
              </w:rPr>
              <w:t>12</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9A7B9D">
            <w:pPr>
              <w:spacing w:before="100" w:beforeAutospacing="1" w:after="100" w:afterAutospacing="1"/>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SM EN 62115:2010/A2:2013</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Jucăriielectrice. Securitate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C73169">
            <w:pPr>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62115:2005/A2:2011</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120B30" w:rsidP="00D74B3E">
            <w:pPr>
              <w:jc w:val="both"/>
              <w:rPr>
                <w:rFonts w:ascii="Times New Roman" w:eastAsia="Times New Roman" w:hAnsi="Times New Roman" w:cs="Times New Roman"/>
                <w:lang w:eastAsia="en-GB"/>
              </w:rPr>
            </w:pPr>
            <w:hyperlink r:id="rId14" w:anchor="Note 3" w:history="1">
              <w:r w:rsidR="00C73169" w:rsidRPr="00D74B3E">
                <w:rPr>
                  <w:rFonts w:ascii="Times New Roman" w:eastAsia="Times New Roman" w:hAnsi="Times New Roman" w:cs="Times New Roman"/>
                  <w:lang w:eastAsia="en-GB"/>
                </w:rPr>
                <w:t>Nota 3</w:t>
              </w:r>
            </w:hyperlink>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9A7B9D" w:rsidP="00D74B3E">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11.08.2011</w:t>
            </w:r>
          </w:p>
        </w:tc>
      </w:tr>
      <w:tr w:rsidR="00C73169" w:rsidRPr="00D74B3E" w:rsidTr="00AB48F1">
        <w:trPr>
          <w:trHeight w:hRule="exact" w:val="798"/>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hAnsi="Times New Roman" w:cs="Times New Roman"/>
                <w:b/>
              </w:rPr>
              <w:t>13</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9A7B9D">
            <w:pPr>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SM EN 62115:2010/A2:2013/AC:2013</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Jucăriielectrice. Securitate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C73169">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62115:2005/A2:2011/AC:2011</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jc w:val="both"/>
              <w:rPr>
                <w:rFonts w:ascii="Times New Roman" w:eastAsia="Times New Roman" w:hAnsi="Times New Roman" w:cs="Times New Roman"/>
                <w:lang w:eastAsia="en-GB"/>
              </w:rPr>
            </w:pPr>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p>
        </w:tc>
      </w:tr>
      <w:tr w:rsidR="00C73169" w:rsidRPr="00D74B3E" w:rsidTr="00AB48F1">
        <w:trPr>
          <w:trHeight w:hRule="exact" w:val="698"/>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hAnsi="Times New Roman" w:cs="Times New Roman"/>
                <w:b/>
              </w:rPr>
              <w:t>14</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3D5ACC">
            <w:pPr>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SMEN</w:t>
            </w:r>
            <w:r w:rsidRPr="00D74B3E">
              <w:rPr>
                <w:rFonts w:ascii="Times New Roman" w:eastAsia="Times New Roman" w:hAnsi="Times New Roman" w:cs="Times New Roman"/>
                <w:lang w:val="ru-RU" w:eastAsia="en-GB"/>
              </w:rPr>
              <w:t xml:space="preserve"> 62115:2005/</w:t>
            </w:r>
            <w:r w:rsidRPr="00D74B3E">
              <w:rPr>
                <w:rFonts w:ascii="Times New Roman" w:eastAsia="Times New Roman" w:hAnsi="Times New Roman" w:cs="Times New Roman"/>
                <w:lang w:eastAsia="en-GB"/>
              </w:rPr>
              <w:t>A</w:t>
            </w:r>
            <w:r w:rsidRPr="00D74B3E">
              <w:rPr>
                <w:rFonts w:ascii="Times New Roman" w:eastAsia="Times New Roman" w:hAnsi="Times New Roman" w:cs="Times New Roman"/>
                <w:lang w:val="ru-RU" w:eastAsia="en-GB"/>
              </w:rPr>
              <w:t>11:2016</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Jucăriielectrice. Securitate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C73169">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62115:2005/A11:2012</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120B30" w:rsidP="00D74B3E">
            <w:pPr>
              <w:jc w:val="both"/>
              <w:rPr>
                <w:rFonts w:ascii="Times New Roman" w:eastAsia="Times New Roman" w:hAnsi="Times New Roman" w:cs="Times New Roman"/>
                <w:lang w:eastAsia="en-GB"/>
              </w:rPr>
            </w:pPr>
            <w:hyperlink r:id="rId15" w:anchor="Note 3" w:history="1">
              <w:r w:rsidR="00C73169" w:rsidRPr="00D74B3E">
                <w:rPr>
                  <w:rFonts w:ascii="Times New Roman" w:eastAsia="Times New Roman" w:hAnsi="Times New Roman" w:cs="Times New Roman"/>
                  <w:lang w:eastAsia="en-GB"/>
                </w:rPr>
                <w:t>Nota 3</w:t>
              </w:r>
            </w:hyperlink>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C73169">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15.11.2012</w:t>
            </w:r>
          </w:p>
        </w:tc>
      </w:tr>
      <w:tr w:rsidR="00C73169" w:rsidRPr="00D74B3E" w:rsidTr="00AB48F1">
        <w:trPr>
          <w:trHeight w:hRule="exact" w:val="807"/>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eastAsia="Calibri" w:hAnsi="Times New Roman" w:cs="Times New Roman"/>
                <w:b/>
              </w:rPr>
              <w:t>15</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3D5ACC">
            <w:pPr>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SM EN 62115:2005/A11:2016/AC:2018</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Jucăriielectrice. Securitate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C73169">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62115:2005/A11:2012/AC:2013</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jc w:val="both"/>
              <w:rPr>
                <w:rFonts w:ascii="Times New Roman" w:eastAsia="Times New Roman" w:hAnsi="Times New Roman" w:cs="Times New Roman"/>
                <w:lang w:eastAsia="en-GB"/>
              </w:rPr>
            </w:pPr>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p>
        </w:tc>
      </w:tr>
      <w:tr w:rsidR="00C73169" w:rsidRPr="00D74B3E" w:rsidTr="00AB48F1">
        <w:trPr>
          <w:trHeight w:hRule="exact" w:val="702"/>
        </w:trPr>
        <w:tc>
          <w:tcPr>
            <w:tcW w:w="462" w:type="dxa"/>
          </w:tcPr>
          <w:p w:rsidR="00C73169" w:rsidRPr="00D74B3E" w:rsidRDefault="00C73169" w:rsidP="00D74B3E">
            <w:pPr>
              <w:pStyle w:val="TableParagraph"/>
              <w:ind w:left="20"/>
              <w:jc w:val="both"/>
              <w:rPr>
                <w:rFonts w:ascii="Times New Roman" w:eastAsia="Calibri" w:hAnsi="Times New Roman" w:cs="Times New Roman"/>
                <w:b/>
              </w:rPr>
            </w:pPr>
            <w:r w:rsidRPr="00D74B3E">
              <w:rPr>
                <w:rFonts w:ascii="Times New Roman" w:eastAsia="Calibri" w:hAnsi="Times New Roman" w:cs="Times New Roman"/>
                <w:b/>
              </w:rPr>
              <w:t>16</w:t>
            </w:r>
          </w:p>
        </w:tc>
        <w:tc>
          <w:tcPr>
            <w:tcW w:w="2041"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9A7B9D">
            <w:pPr>
              <w:spacing w:before="100" w:beforeAutospacing="1" w:after="100" w:afterAutospacing="1"/>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SM EN 62115:2005/A12:2016</w:t>
            </w:r>
          </w:p>
        </w:tc>
        <w:tc>
          <w:tcPr>
            <w:tcW w:w="3018"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D74B3E">
            <w:pPr>
              <w:spacing w:before="100" w:beforeAutospacing="1" w:after="100" w:afterAutospacing="1"/>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Jucăriielectrice. Securitate</w:t>
            </w:r>
          </w:p>
        </w:tc>
        <w:tc>
          <w:tcPr>
            <w:tcW w:w="3870" w:type="dxa"/>
            <w:tcBorders>
              <w:top w:val="outset" w:sz="6" w:space="0" w:color="auto"/>
              <w:left w:val="outset" w:sz="6" w:space="0" w:color="auto"/>
              <w:bottom w:val="outset" w:sz="6" w:space="0" w:color="auto"/>
              <w:right w:val="outset" w:sz="6" w:space="0" w:color="auto"/>
            </w:tcBorders>
            <w:vAlign w:val="center"/>
          </w:tcPr>
          <w:p w:rsidR="00C73169" w:rsidRPr="00D74B3E" w:rsidRDefault="00C73169" w:rsidP="00C73169">
            <w:pPr>
              <w:jc w:val="both"/>
              <w:rPr>
                <w:rFonts w:ascii="Times New Roman" w:eastAsia="Times New Roman" w:hAnsi="Times New Roman" w:cs="Times New Roman"/>
                <w:lang w:eastAsia="en-GB"/>
              </w:rPr>
            </w:pPr>
            <w:r w:rsidRPr="00D74B3E">
              <w:rPr>
                <w:rFonts w:ascii="Times New Roman" w:eastAsia="Times New Roman" w:hAnsi="Times New Roman" w:cs="Times New Roman"/>
                <w:lang w:eastAsia="en-GB"/>
              </w:rPr>
              <w:t>EN 62115:2005/A12:2015</w:t>
            </w:r>
          </w:p>
        </w:tc>
        <w:tc>
          <w:tcPr>
            <w:tcW w:w="2382" w:type="dxa"/>
            <w:tcBorders>
              <w:top w:val="outset" w:sz="6" w:space="0" w:color="auto"/>
              <w:left w:val="outset" w:sz="6" w:space="0" w:color="auto"/>
              <w:bottom w:val="outset" w:sz="6" w:space="0" w:color="auto"/>
              <w:right w:val="outset" w:sz="6" w:space="0" w:color="auto"/>
            </w:tcBorders>
            <w:vAlign w:val="center"/>
          </w:tcPr>
          <w:p w:rsidR="00C73169" w:rsidRPr="00D74B3E" w:rsidRDefault="00120B30" w:rsidP="00D74B3E">
            <w:pPr>
              <w:jc w:val="both"/>
              <w:rPr>
                <w:rFonts w:ascii="Times New Roman" w:eastAsia="Times New Roman" w:hAnsi="Times New Roman" w:cs="Times New Roman"/>
                <w:lang w:eastAsia="en-GB"/>
              </w:rPr>
            </w:pPr>
            <w:hyperlink r:id="rId16" w:anchor="Note 3" w:history="1">
              <w:r w:rsidR="00C73169" w:rsidRPr="00D74B3E">
                <w:rPr>
                  <w:rFonts w:ascii="Times New Roman" w:eastAsia="Times New Roman" w:hAnsi="Times New Roman" w:cs="Times New Roman"/>
                  <w:lang w:eastAsia="en-GB"/>
                </w:rPr>
                <w:t>Nota 3</w:t>
              </w:r>
            </w:hyperlink>
          </w:p>
        </w:tc>
        <w:tc>
          <w:tcPr>
            <w:tcW w:w="2250" w:type="dxa"/>
            <w:tcBorders>
              <w:top w:val="outset" w:sz="6" w:space="0" w:color="auto"/>
              <w:left w:val="outset" w:sz="6" w:space="0" w:color="auto"/>
              <w:bottom w:val="outset" w:sz="6" w:space="0" w:color="auto"/>
              <w:right w:val="outset" w:sz="6" w:space="0" w:color="auto"/>
            </w:tcBorders>
            <w:vAlign w:val="center"/>
          </w:tcPr>
          <w:p w:rsidR="00C73169" w:rsidRPr="00D74B3E" w:rsidRDefault="009A7B9D" w:rsidP="00D74B3E">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03.06.2017</w:t>
            </w:r>
          </w:p>
        </w:tc>
      </w:tr>
    </w:tbl>
    <w:p w:rsidR="00BB2A50" w:rsidRPr="00D74B3E" w:rsidRDefault="00BB2A50" w:rsidP="00D74B3E">
      <w:pPr>
        <w:pStyle w:val="Default"/>
        <w:jc w:val="both"/>
        <w:rPr>
          <w:color w:val="auto"/>
        </w:rPr>
      </w:pPr>
    </w:p>
    <w:p w:rsidR="001A35AB" w:rsidRPr="00D74B3E" w:rsidRDefault="001A35AB" w:rsidP="00D74B3E">
      <w:pPr>
        <w:autoSpaceDE w:val="0"/>
        <w:autoSpaceDN w:val="0"/>
        <w:adjustRightInd w:val="0"/>
        <w:spacing w:after="0" w:line="240" w:lineRule="auto"/>
        <w:ind w:left="993"/>
        <w:jc w:val="both"/>
        <w:rPr>
          <w:rFonts w:ascii="Times New Roman" w:hAnsi="Times New Roman" w:cs="Times New Roman"/>
          <w:sz w:val="24"/>
          <w:szCs w:val="24"/>
          <w:lang w:val="ro-RO"/>
        </w:rPr>
      </w:pPr>
      <w:r w:rsidRPr="00D74B3E">
        <w:rPr>
          <w:rFonts w:ascii="Times New Roman" w:hAnsi="Times New Roman" w:cs="Times New Roman"/>
          <w:i/>
          <w:sz w:val="24"/>
          <w:szCs w:val="24"/>
          <w:lang w:val="ro-RO"/>
        </w:rPr>
        <w:lastRenderedPageBreak/>
        <w:t>Nota 1:</w:t>
      </w:r>
      <w:r w:rsidRPr="00D74B3E">
        <w:rPr>
          <w:rFonts w:ascii="Times New Roman" w:hAnsi="Times New Roman" w:cs="Times New Roman"/>
          <w:sz w:val="24"/>
          <w:szCs w:val="24"/>
          <w:lang w:val="ro-RO"/>
        </w:rPr>
        <w:t xml:space="preserve"> În general, data încetării prezumției de conformitate va fi data retragerii („dow”), stabilită de Organismul european de standardizare, însă se atrage atenția utilizatorilor acestor standarde asupra faptului că, în anumite cazuri excepționale, aceasta poate fi diferită. </w:t>
      </w:r>
    </w:p>
    <w:p w:rsidR="001A35AB" w:rsidRPr="00D74B3E" w:rsidRDefault="001A35AB" w:rsidP="00D74B3E">
      <w:pPr>
        <w:numPr>
          <w:ilvl w:val="0"/>
          <w:numId w:val="13"/>
        </w:numPr>
        <w:autoSpaceDE w:val="0"/>
        <w:autoSpaceDN w:val="0"/>
        <w:adjustRightInd w:val="0"/>
        <w:spacing w:after="0" w:line="240" w:lineRule="auto"/>
        <w:ind w:left="993"/>
        <w:jc w:val="both"/>
        <w:rPr>
          <w:rFonts w:ascii="Times New Roman" w:hAnsi="Times New Roman" w:cs="Times New Roman"/>
          <w:sz w:val="24"/>
          <w:szCs w:val="24"/>
          <w:lang w:val="ro-RO"/>
        </w:rPr>
      </w:pPr>
    </w:p>
    <w:p w:rsidR="001A35AB" w:rsidRPr="00D74B3E" w:rsidRDefault="00667BC9" w:rsidP="00D74B3E">
      <w:pPr>
        <w:autoSpaceDE w:val="0"/>
        <w:autoSpaceDN w:val="0"/>
        <w:adjustRightInd w:val="0"/>
        <w:spacing w:after="0" w:line="240" w:lineRule="auto"/>
        <w:ind w:left="993"/>
        <w:jc w:val="both"/>
        <w:rPr>
          <w:rFonts w:ascii="Times New Roman" w:hAnsi="Times New Roman" w:cs="Times New Roman"/>
          <w:sz w:val="24"/>
          <w:szCs w:val="24"/>
          <w:lang w:val="ro-RO"/>
        </w:rPr>
      </w:pPr>
      <w:r w:rsidRPr="00D74B3E">
        <w:rPr>
          <w:rFonts w:ascii="Times New Roman" w:hAnsi="Times New Roman" w:cs="Times New Roman"/>
          <w:i/>
          <w:sz w:val="24"/>
          <w:szCs w:val="24"/>
          <w:lang w:val="ro-RO"/>
        </w:rPr>
        <w:t>Nota 2</w:t>
      </w:r>
      <w:r w:rsidR="001A35AB" w:rsidRPr="00D74B3E">
        <w:rPr>
          <w:rFonts w:ascii="Times New Roman" w:hAnsi="Times New Roman" w:cs="Times New Roman"/>
          <w:i/>
          <w:sz w:val="24"/>
          <w:szCs w:val="24"/>
          <w:lang w:val="ro-RO"/>
        </w:rPr>
        <w:t>:</w:t>
      </w:r>
      <w:r w:rsidR="001A35AB" w:rsidRPr="00D74B3E">
        <w:rPr>
          <w:rFonts w:ascii="Times New Roman" w:hAnsi="Times New Roman" w:cs="Times New Roman"/>
          <w:sz w:val="24"/>
          <w:szCs w:val="24"/>
          <w:lang w:val="ro-RO"/>
        </w:rPr>
        <w:t xml:space="preserve"> Standardul nou (sau amendamentul acestuia) are același domeniu de aplicare ca și standardul înlocuit. La data precizată, standardul înlocuit își încetează prezumția de conformitate cu cerințele esențiale sau cu alte cerințe ale legislației corespunzătoare. </w:t>
      </w:r>
    </w:p>
    <w:p w:rsidR="001A35AB" w:rsidRPr="003D5ACC" w:rsidRDefault="001A35AB" w:rsidP="00D74B3E">
      <w:pPr>
        <w:spacing w:after="0"/>
        <w:ind w:left="993"/>
        <w:jc w:val="both"/>
        <w:rPr>
          <w:rFonts w:ascii="Times New Roman" w:hAnsi="Times New Roman" w:cs="Times New Roman"/>
          <w:b/>
          <w:sz w:val="14"/>
          <w:szCs w:val="14"/>
          <w:lang w:val="ro-RO"/>
        </w:rPr>
      </w:pPr>
    </w:p>
    <w:p w:rsidR="001A35AB" w:rsidRPr="00D74B3E" w:rsidRDefault="001A35AB" w:rsidP="00D74B3E">
      <w:pPr>
        <w:autoSpaceDE w:val="0"/>
        <w:autoSpaceDN w:val="0"/>
        <w:adjustRightInd w:val="0"/>
        <w:spacing w:after="0" w:line="240" w:lineRule="auto"/>
        <w:ind w:left="993"/>
        <w:jc w:val="both"/>
        <w:rPr>
          <w:rFonts w:ascii="Times New Roman" w:hAnsi="Times New Roman" w:cs="Times New Roman"/>
          <w:sz w:val="24"/>
          <w:szCs w:val="24"/>
          <w:lang w:val="ro-RO"/>
        </w:rPr>
      </w:pPr>
      <w:r w:rsidRPr="00D74B3E">
        <w:rPr>
          <w:rFonts w:ascii="Times New Roman" w:hAnsi="Times New Roman" w:cs="Times New Roman"/>
          <w:sz w:val="24"/>
          <w:szCs w:val="24"/>
          <w:lang w:val="ro-RO"/>
        </w:rPr>
        <w:t>Standardul nou are un domeniu de aplicare mai larg decât standardul înlocuit. La data precizată, standardul înlocuit își încetează prezumția de conformitate cu cerințele esențiale sau cu alte cerințe ale legislației corespunzătoare.</w:t>
      </w:r>
    </w:p>
    <w:p w:rsidR="001A35AB" w:rsidRPr="003D5ACC" w:rsidRDefault="001A35AB" w:rsidP="00D74B3E">
      <w:pPr>
        <w:autoSpaceDE w:val="0"/>
        <w:autoSpaceDN w:val="0"/>
        <w:adjustRightInd w:val="0"/>
        <w:spacing w:after="0" w:line="240" w:lineRule="auto"/>
        <w:ind w:left="993"/>
        <w:jc w:val="both"/>
        <w:rPr>
          <w:rFonts w:ascii="Times New Roman" w:hAnsi="Times New Roman" w:cs="Times New Roman"/>
          <w:sz w:val="14"/>
          <w:szCs w:val="14"/>
          <w:lang w:val="ro-RO"/>
        </w:rPr>
      </w:pPr>
    </w:p>
    <w:p w:rsidR="001A35AB" w:rsidRPr="00D74B3E" w:rsidRDefault="001A35AB" w:rsidP="00D74B3E">
      <w:pPr>
        <w:autoSpaceDE w:val="0"/>
        <w:autoSpaceDN w:val="0"/>
        <w:adjustRightInd w:val="0"/>
        <w:spacing w:after="0" w:line="240" w:lineRule="auto"/>
        <w:ind w:left="993"/>
        <w:jc w:val="both"/>
        <w:rPr>
          <w:rFonts w:ascii="Times New Roman" w:hAnsi="Times New Roman" w:cs="Times New Roman"/>
          <w:sz w:val="24"/>
          <w:szCs w:val="24"/>
          <w:lang w:val="ro-RO"/>
        </w:rPr>
      </w:pPr>
      <w:r w:rsidRPr="00D74B3E">
        <w:rPr>
          <w:rFonts w:ascii="Times New Roman" w:hAnsi="Times New Roman" w:cs="Times New Roman"/>
          <w:sz w:val="24"/>
          <w:szCs w:val="24"/>
          <w:lang w:val="ro-RO"/>
        </w:rPr>
        <w:t>Standardul nou are un domeniu de aplicare mai restrâns decât standardul înlocuit. La data precizată, standardul (parțial) înlocuit își încetează prezumția de conformitate cu cerințele esențiale sau cu alte cerințe ale legislației corespunzătoare pentru acele produse sau servicii care cad sub incidența domeniului de aplicare al noului standard. Prezumția de conformitate cu cerințele esențiale sau cu alte cerințe ale legislației corespunzătoare pentru produsele sau serviciile care rămân în același domeniu de aplicare al standardului (parțial) înlocuit, dar care nu intră în domeniul de aplicare a standardului nou, nu este afectată.</w:t>
      </w:r>
    </w:p>
    <w:p w:rsidR="001A35AB" w:rsidRPr="003D5ACC" w:rsidRDefault="001A35AB" w:rsidP="00D74B3E">
      <w:pPr>
        <w:autoSpaceDE w:val="0"/>
        <w:autoSpaceDN w:val="0"/>
        <w:adjustRightInd w:val="0"/>
        <w:spacing w:after="0" w:line="240" w:lineRule="auto"/>
        <w:ind w:left="993"/>
        <w:jc w:val="both"/>
        <w:rPr>
          <w:rFonts w:ascii="Times New Roman" w:hAnsi="Times New Roman" w:cs="Times New Roman"/>
          <w:sz w:val="14"/>
          <w:szCs w:val="14"/>
          <w:lang w:val="ro-RO"/>
        </w:rPr>
      </w:pPr>
    </w:p>
    <w:p w:rsidR="001A35AB" w:rsidRPr="00D74B3E" w:rsidRDefault="001A35AB" w:rsidP="00D74B3E">
      <w:pPr>
        <w:autoSpaceDE w:val="0"/>
        <w:autoSpaceDN w:val="0"/>
        <w:adjustRightInd w:val="0"/>
        <w:spacing w:after="0" w:line="240" w:lineRule="auto"/>
        <w:ind w:left="993"/>
        <w:jc w:val="both"/>
        <w:rPr>
          <w:rFonts w:ascii="Times New Roman" w:hAnsi="Times New Roman" w:cs="Times New Roman"/>
          <w:sz w:val="24"/>
          <w:szCs w:val="24"/>
          <w:lang w:val="ro-RO"/>
        </w:rPr>
      </w:pPr>
      <w:r w:rsidRPr="00D74B3E">
        <w:rPr>
          <w:rFonts w:ascii="Times New Roman" w:hAnsi="Times New Roman" w:cs="Times New Roman"/>
          <w:i/>
          <w:sz w:val="24"/>
          <w:szCs w:val="24"/>
          <w:lang w:val="ro-RO"/>
        </w:rPr>
        <w:t xml:space="preserve">Nota 3: </w:t>
      </w:r>
      <w:r w:rsidRPr="00D74B3E">
        <w:rPr>
          <w:rFonts w:ascii="Times New Roman" w:hAnsi="Times New Roman" w:cs="Times New Roman"/>
          <w:sz w:val="24"/>
          <w:szCs w:val="24"/>
          <w:lang w:val="ro-RO"/>
        </w:rPr>
        <w:t>În cazul amendamentelor, standardul de referință este SM  CCCCC:YYYY, amendamentele sale anterioare, dacă există, și noul amendament citat. Prin urmare, standardul înlocuit se compune din SM CCCCC:YYYY și amendamentele sale anterioare, dacă există, însă fără noul amendament citat. La data precizată, standardul înlocuit își încetează prezumția de conformitate cu cerințele esențiale sau cu alte cerințe a</w:t>
      </w:r>
      <w:r w:rsidR="00004305" w:rsidRPr="00D74B3E">
        <w:rPr>
          <w:rFonts w:ascii="Times New Roman" w:hAnsi="Times New Roman" w:cs="Times New Roman"/>
          <w:sz w:val="24"/>
          <w:szCs w:val="24"/>
          <w:lang w:val="ro-RO"/>
        </w:rPr>
        <w:t xml:space="preserve">le legislației corespunzătoare </w:t>
      </w:r>
    </w:p>
    <w:p w:rsidR="001A35AB" w:rsidRPr="00AB3A6E" w:rsidRDefault="001A35AB" w:rsidP="00D74B3E">
      <w:pPr>
        <w:pStyle w:val="Default"/>
        <w:ind w:left="993"/>
        <w:jc w:val="both"/>
        <w:rPr>
          <w:rFonts w:ascii="Times New Roman" w:hAnsi="Times New Roman" w:cs="Times New Roman"/>
          <w:b/>
          <w:color w:val="auto"/>
          <w:sz w:val="14"/>
          <w:szCs w:val="14"/>
          <w:lang w:val="ro-RO"/>
        </w:rPr>
      </w:pPr>
    </w:p>
    <w:p w:rsidR="007B00C2" w:rsidRPr="00D74B3E" w:rsidRDefault="001A35AB" w:rsidP="003D5ACC">
      <w:pPr>
        <w:spacing w:after="0" w:line="240" w:lineRule="auto"/>
        <w:ind w:left="993"/>
        <w:jc w:val="both"/>
        <w:rPr>
          <w:rFonts w:ascii="Times New Roman" w:hAnsi="Times New Roman" w:cs="Times New Roman"/>
          <w:sz w:val="20"/>
          <w:szCs w:val="20"/>
        </w:rPr>
      </w:pPr>
      <w:r w:rsidRPr="00D74B3E">
        <w:rPr>
          <w:rFonts w:ascii="Times New Roman" w:hAnsi="Times New Roman" w:cs="Times New Roman"/>
          <w:bCs/>
          <w:i/>
          <w:sz w:val="24"/>
          <w:szCs w:val="24"/>
        </w:rPr>
        <w:t>Notă 4:</w:t>
      </w:r>
      <w:r w:rsidRPr="00D74B3E">
        <w:rPr>
          <w:rFonts w:ascii="Times New Roman" w:hAnsi="Times New Roman" w:cs="Times New Roman"/>
          <w:bCs/>
          <w:sz w:val="24"/>
          <w:szCs w:val="24"/>
        </w:rPr>
        <w:t xml:space="preserve"> Standardele europene anulate de către Organismul european de standardizare, pentru care a fost atins termenul la care încetează prezumția conformității și nu au fost adoptate ca standarde moldovenești, nu se adoptă ca standarde moldovenești după acest termen. Aceste standarde europene anulate pot fi utilizate direct, în caz de necesitate.</w:t>
      </w:r>
    </w:p>
    <w:sectPr w:rsidR="007B00C2" w:rsidRPr="00D74B3E" w:rsidSect="00F15410">
      <w:headerReference w:type="even" r:id="rId17"/>
      <w:headerReference w:type="default" r:id="rId18"/>
      <w:footerReference w:type="default" r:id="rId19"/>
      <w:headerReference w:type="first" r:id="rId20"/>
      <w:footerReference w:type="first" r:id="rId21"/>
      <w:pgSz w:w="15840" w:h="12240" w:orient="landscape"/>
      <w:pgMar w:top="-460" w:right="672" w:bottom="450" w:left="0" w:header="11" w:footer="59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557" w:rsidRDefault="00D30557" w:rsidP="003550DA">
      <w:pPr>
        <w:spacing w:after="0" w:line="240" w:lineRule="auto"/>
      </w:pPr>
      <w:r>
        <w:separator/>
      </w:r>
    </w:p>
  </w:endnote>
  <w:endnote w:type="continuationSeparator" w:id="1">
    <w:p w:rsidR="00D30557" w:rsidRDefault="00D30557" w:rsidP="00355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CF" w:rsidRDefault="00EC58CF">
    <w:pPr>
      <w:pStyle w:val="Footer"/>
      <w:jc w:val="center"/>
    </w:pPr>
  </w:p>
  <w:p w:rsidR="002B66E2" w:rsidRDefault="002B66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007154"/>
      <w:docPartObj>
        <w:docPartGallery w:val="Page Numbers (Bottom of Page)"/>
        <w:docPartUnique/>
      </w:docPartObj>
    </w:sdtPr>
    <w:sdtEndPr>
      <w:rPr>
        <w:color w:val="FFFFFF" w:themeColor="background1"/>
      </w:rPr>
    </w:sdtEndPr>
    <w:sdtContent>
      <w:p w:rsidR="00F15410" w:rsidRPr="003B3EB7" w:rsidRDefault="00120B30">
        <w:pPr>
          <w:pStyle w:val="Footer"/>
          <w:jc w:val="right"/>
          <w:rPr>
            <w:color w:val="FFFFFF" w:themeColor="background1"/>
          </w:rPr>
        </w:pPr>
        <w:r w:rsidRPr="003B3EB7">
          <w:rPr>
            <w:color w:val="FFFFFF" w:themeColor="background1"/>
          </w:rPr>
          <w:fldChar w:fldCharType="begin"/>
        </w:r>
        <w:r w:rsidR="00F15410" w:rsidRPr="003B3EB7">
          <w:rPr>
            <w:color w:val="FFFFFF" w:themeColor="background1"/>
          </w:rPr>
          <w:instrText>PAGE   \* MERGEFORMAT</w:instrText>
        </w:r>
        <w:r w:rsidRPr="003B3EB7">
          <w:rPr>
            <w:color w:val="FFFFFF" w:themeColor="background1"/>
          </w:rPr>
          <w:fldChar w:fldCharType="separate"/>
        </w:r>
        <w:r w:rsidR="00B61F32" w:rsidRPr="00B61F32">
          <w:rPr>
            <w:noProof/>
            <w:color w:val="FFFFFF" w:themeColor="background1"/>
            <w:lang w:val="ru-RU"/>
          </w:rPr>
          <w:t>1</w:t>
        </w:r>
        <w:r w:rsidRPr="003B3EB7">
          <w:rPr>
            <w:color w:val="FFFFFF" w:themeColor="background1"/>
          </w:rPr>
          <w:fldChar w:fldCharType="end"/>
        </w:r>
      </w:p>
    </w:sdtContent>
  </w:sdt>
  <w:p w:rsidR="002B66E2" w:rsidRPr="00117583" w:rsidRDefault="002B66E2" w:rsidP="00117583">
    <w:pPr>
      <w:spacing w:after="0" w:line="240" w:lineRule="auto"/>
      <w:ind w:firstLine="1170"/>
      <w:jc w:val="center"/>
      <w:rPr>
        <w:rFonts w:ascii="Calibri Light" w:hAnsi="Calibri Light" w:cs="Calibri Light"/>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557" w:rsidRDefault="00D30557" w:rsidP="003550DA">
      <w:pPr>
        <w:spacing w:after="0" w:line="240" w:lineRule="auto"/>
      </w:pPr>
      <w:r>
        <w:separator/>
      </w:r>
    </w:p>
  </w:footnote>
  <w:footnote w:type="continuationSeparator" w:id="1">
    <w:p w:rsidR="00D30557" w:rsidRDefault="00D30557" w:rsidP="00355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E2" w:rsidRDefault="002B66E2">
    <w:pPr>
      <w:pStyle w:val="Header"/>
    </w:pPr>
  </w:p>
  <w:p w:rsidR="002B66E2" w:rsidRDefault="002B66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E2" w:rsidRDefault="002B66E2" w:rsidP="005F281E">
    <w:pPr>
      <w:pStyle w:val="Header"/>
      <w:jc w:val="center"/>
    </w:pPr>
  </w:p>
  <w:p w:rsidR="002B66E2" w:rsidRDefault="002B66E2" w:rsidP="005F281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E2" w:rsidRDefault="002B66E2" w:rsidP="00943C96">
    <w:pPr>
      <w:pStyle w:val="Header"/>
      <w:jc w:val="right"/>
    </w:pPr>
  </w:p>
  <w:p w:rsidR="002B66E2" w:rsidRDefault="002B66E2" w:rsidP="002B66E2">
    <w:pPr>
      <w:pStyle w:val="Header"/>
      <w:jc w:val="right"/>
    </w:pPr>
  </w:p>
  <w:p w:rsidR="002B66E2" w:rsidRDefault="002B66E2" w:rsidP="00117583">
    <w:pPr>
      <w:tabs>
        <w:tab w:val="left" w:pos="5287"/>
      </w:tabs>
      <w:rPr>
        <w:sz w:val="28"/>
        <w:szCs w:val="28"/>
      </w:rPr>
    </w:pPr>
  </w:p>
  <w:p w:rsidR="002B66E2" w:rsidRDefault="002B66E2" w:rsidP="00101EB6">
    <w:pPr>
      <w:spacing w:after="0"/>
      <w:ind w:left="-450" w:firstLine="1170"/>
      <w:jc w:val="center"/>
      <w:rPr>
        <w:rFonts w:cs="Calibr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A27F5"/>
    <w:multiLevelType w:val="hybridMultilevel"/>
    <w:tmpl w:val="5B145C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D36946"/>
    <w:multiLevelType w:val="hybridMultilevel"/>
    <w:tmpl w:val="991AF8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D3DB63"/>
    <w:multiLevelType w:val="hybridMultilevel"/>
    <w:tmpl w:val="695D1C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DA5644"/>
    <w:multiLevelType w:val="hybridMultilevel"/>
    <w:tmpl w:val="446C4F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C1089"/>
    <w:multiLevelType w:val="hybridMultilevel"/>
    <w:tmpl w:val="37CAF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E11C89"/>
    <w:multiLevelType w:val="hybridMultilevel"/>
    <w:tmpl w:val="285C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F85458"/>
    <w:multiLevelType w:val="hybridMultilevel"/>
    <w:tmpl w:val="0596955A"/>
    <w:lvl w:ilvl="0" w:tplc="09F2E3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818F1"/>
    <w:multiLevelType w:val="hybridMultilevel"/>
    <w:tmpl w:val="D136CD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F520764"/>
    <w:multiLevelType w:val="hybridMultilevel"/>
    <w:tmpl w:val="7A48A36A"/>
    <w:lvl w:ilvl="0" w:tplc="C570EBAE">
      <w:start w:val="1"/>
      <w:numFmt w:val="decimal"/>
      <w:lvlText w:val="%1)"/>
      <w:lvlJc w:val="left"/>
      <w:pPr>
        <w:ind w:left="1080" w:hanging="360"/>
      </w:pPr>
      <w:rPr>
        <w:rFonts w:ascii="Times New Roman" w:eastAsia="Times New Roman" w:hAnsi="Times New Roman" w:cs="Times New Roman"/>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21B711E"/>
    <w:multiLevelType w:val="multilevel"/>
    <w:tmpl w:val="BFFE0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C560B9"/>
    <w:multiLevelType w:val="hybridMultilevel"/>
    <w:tmpl w:val="8C9E17BC"/>
    <w:lvl w:ilvl="0" w:tplc="7624C85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F2C3A59"/>
    <w:multiLevelType w:val="hybridMultilevel"/>
    <w:tmpl w:val="E26CD32A"/>
    <w:lvl w:ilvl="0" w:tplc="8A82315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3C5491B"/>
    <w:multiLevelType w:val="hybridMultilevel"/>
    <w:tmpl w:val="B4AB1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5"/>
  </w:num>
  <w:num w:numId="3">
    <w:abstractNumId w:val="9"/>
  </w:num>
  <w:num w:numId="4">
    <w:abstractNumId w:val="8"/>
  </w:num>
  <w:num w:numId="5">
    <w:abstractNumId w:val="3"/>
  </w:num>
  <w:num w:numId="6">
    <w:abstractNumId w:val="11"/>
  </w:num>
  <w:num w:numId="7">
    <w:abstractNumId w:val="6"/>
  </w:num>
  <w:num w:numId="8">
    <w:abstractNumId w:val="0"/>
  </w:num>
  <w:num w:numId="9">
    <w:abstractNumId w:val="7"/>
  </w:num>
  <w:num w:numId="10">
    <w:abstractNumId w:val="1"/>
  </w:num>
  <w:num w:numId="11">
    <w:abstractNumId w:val="2"/>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hyphenationZone w:val="425"/>
  <w:evenAndOddHeaders/>
  <w:characterSpacingControl w:val="doNotCompress"/>
  <w:hdrShapeDefaults>
    <o:shapedefaults v:ext="edit" spidmax="5122"/>
  </w:hdrShapeDefaults>
  <w:footnotePr>
    <w:footnote w:id="0"/>
    <w:footnote w:id="1"/>
  </w:footnotePr>
  <w:endnotePr>
    <w:endnote w:id="0"/>
    <w:endnote w:id="1"/>
  </w:endnotePr>
  <w:compat/>
  <w:rsids>
    <w:rsidRoot w:val="00D3501B"/>
    <w:rsid w:val="00003881"/>
    <w:rsid w:val="00004305"/>
    <w:rsid w:val="00005A51"/>
    <w:rsid w:val="00017EA1"/>
    <w:rsid w:val="00030539"/>
    <w:rsid w:val="000362D3"/>
    <w:rsid w:val="00037120"/>
    <w:rsid w:val="0005069F"/>
    <w:rsid w:val="00056DFF"/>
    <w:rsid w:val="00076473"/>
    <w:rsid w:val="000854E1"/>
    <w:rsid w:val="00091B27"/>
    <w:rsid w:val="00092C25"/>
    <w:rsid w:val="000A35D1"/>
    <w:rsid w:val="000A5351"/>
    <w:rsid w:val="000B0614"/>
    <w:rsid w:val="000B6728"/>
    <w:rsid w:val="000B6B9D"/>
    <w:rsid w:val="000C3B4A"/>
    <w:rsid w:val="000C6F5F"/>
    <w:rsid w:val="000E1673"/>
    <w:rsid w:val="000E46F0"/>
    <w:rsid w:val="000F33B7"/>
    <w:rsid w:val="00100E3C"/>
    <w:rsid w:val="00101EB6"/>
    <w:rsid w:val="001107E8"/>
    <w:rsid w:val="00117583"/>
    <w:rsid w:val="00120B30"/>
    <w:rsid w:val="0013017C"/>
    <w:rsid w:val="001317A5"/>
    <w:rsid w:val="00156849"/>
    <w:rsid w:val="00171A55"/>
    <w:rsid w:val="00172A77"/>
    <w:rsid w:val="00175738"/>
    <w:rsid w:val="0017651E"/>
    <w:rsid w:val="00177733"/>
    <w:rsid w:val="001831A2"/>
    <w:rsid w:val="001A35AB"/>
    <w:rsid w:val="001B6199"/>
    <w:rsid w:val="001D4823"/>
    <w:rsid w:val="001D7DC1"/>
    <w:rsid w:val="00207CA8"/>
    <w:rsid w:val="0023029D"/>
    <w:rsid w:val="0023396D"/>
    <w:rsid w:val="00245071"/>
    <w:rsid w:val="00250AEB"/>
    <w:rsid w:val="00256D72"/>
    <w:rsid w:val="002641A1"/>
    <w:rsid w:val="00267020"/>
    <w:rsid w:val="00270DD5"/>
    <w:rsid w:val="00275EBB"/>
    <w:rsid w:val="00284135"/>
    <w:rsid w:val="002B66E2"/>
    <w:rsid w:val="002C7B7A"/>
    <w:rsid w:val="002F09BE"/>
    <w:rsid w:val="002F1441"/>
    <w:rsid w:val="002F3D62"/>
    <w:rsid w:val="002F670D"/>
    <w:rsid w:val="00307792"/>
    <w:rsid w:val="00312101"/>
    <w:rsid w:val="00314123"/>
    <w:rsid w:val="00316C55"/>
    <w:rsid w:val="00322CA1"/>
    <w:rsid w:val="00344910"/>
    <w:rsid w:val="003525DB"/>
    <w:rsid w:val="003550DA"/>
    <w:rsid w:val="0036372B"/>
    <w:rsid w:val="0036555A"/>
    <w:rsid w:val="00366998"/>
    <w:rsid w:val="00387A69"/>
    <w:rsid w:val="00390976"/>
    <w:rsid w:val="003A0408"/>
    <w:rsid w:val="003A33F0"/>
    <w:rsid w:val="003A5636"/>
    <w:rsid w:val="003B3EB7"/>
    <w:rsid w:val="003D21D6"/>
    <w:rsid w:val="003D320C"/>
    <w:rsid w:val="003D5ACC"/>
    <w:rsid w:val="003D6AC9"/>
    <w:rsid w:val="00401076"/>
    <w:rsid w:val="00411E86"/>
    <w:rsid w:val="00417F31"/>
    <w:rsid w:val="00426D7F"/>
    <w:rsid w:val="00432344"/>
    <w:rsid w:val="004416A5"/>
    <w:rsid w:val="0045224E"/>
    <w:rsid w:val="00481362"/>
    <w:rsid w:val="00497033"/>
    <w:rsid w:val="004A1B81"/>
    <w:rsid w:val="004A6DC3"/>
    <w:rsid w:val="004A6DDC"/>
    <w:rsid w:val="004A6E8A"/>
    <w:rsid w:val="004C5A21"/>
    <w:rsid w:val="004C6EAB"/>
    <w:rsid w:val="004D62E5"/>
    <w:rsid w:val="004E07C3"/>
    <w:rsid w:val="00502941"/>
    <w:rsid w:val="005047A4"/>
    <w:rsid w:val="00506594"/>
    <w:rsid w:val="00513385"/>
    <w:rsid w:val="00515349"/>
    <w:rsid w:val="005228B7"/>
    <w:rsid w:val="005239F7"/>
    <w:rsid w:val="005304A7"/>
    <w:rsid w:val="0053488F"/>
    <w:rsid w:val="005351CB"/>
    <w:rsid w:val="00537C90"/>
    <w:rsid w:val="0055103E"/>
    <w:rsid w:val="00551C70"/>
    <w:rsid w:val="0055418A"/>
    <w:rsid w:val="00554AC0"/>
    <w:rsid w:val="0056046C"/>
    <w:rsid w:val="00562BDB"/>
    <w:rsid w:val="00570285"/>
    <w:rsid w:val="0057618E"/>
    <w:rsid w:val="00593A75"/>
    <w:rsid w:val="005C549B"/>
    <w:rsid w:val="005D2AC0"/>
    <w:rsid w:val="005F281E"/>
    <w:rsid w:val="005F37C6"/>
    <w:rsid w:val="00612EA0"/>
    <w:rsid w:val="006157DD"/>
    <w:rsid w:val="00625026"/>
    <w:rsid w:val="006272C1"/>
    <w:rsid w:val="00627F20"/>
    <w:rsid w:val="00637D6B"/>
    <w:rsid w:val="0064055C"/>
    <w:rsid w:val="006449F5"/>
    <w:rsid w:val="0065796D"/>
    <w:rsid w:val="006646D1"/>
    <w:rsid w:val="006677D0"/>
    <w:rsid w:val="00667BC9"/>
    <w:rsid w:val="006776A9"/>
    <w:rsid w:val="00681AAA"/>
    <w:rsid w:val="00690AC2"/>
    <w:rsid w:val="00696BAB"/>
    <w:rsid w:val="00697622"/>
    <w:rsid w:val="006A3B18"/>
    <w:rsid w:val="006A4384"/>
    <w:rsid w:val="006B56C7"/>
    <w:rsid w:val="006C1D55"/>
    <w:rsid w:val="006E24F4"/>
    <w:rsid w:val="006E607E"/>
    <w:rsid w:val="006E7F10"/>
    <w:rsid w:val="006F03E3"/>
    <w:rsid w:val="00702132"/>
    <w:rsid w:val="0071033A"/>
    <w:rsid w:val="0073653F"/>
    <w:rsid w:val="00743041"/>
    <w:rsid w:val="0076054B"/>
    <w:rsid w:val="007615BC"/>
    <w:rsid w:val="00763E4A"/>
    <w:rsid w:val="007642CB"/>
    <w:rsid w:val="00764BE9"/>
    <w:rsid w:val="0078217F"/>
    <w:rsid w:val="007905F1"/>
    <w:rsid w:val="007B00C2"/>
    <w:rsid w:val="007E4831"/>
    <w:rsid w:val="007F037D"/>
    <w:rsid w:val="007F1ADB"/>
    <w:rsid w:val="007F7D10"/>
    <w:rsid w:val="00815DCD"/>
    <w:rsid w:val="00820786"/>
    <w:rsid w:val="00825412"/>
    <w:rsid w:val="00827716"/>
    <w:rsid w:val="008433B7"/>
    <w:rsid w:val="008434E2"/>
    <w:rsid w:val="00847782"/>
    <w:rsid w:val="00856860"/>
    <w:rsid w:val="008749FB"/>
    <w:rsid w:val="0088231A"/>
    <w:rsid w:val="008903B2"/>
    <w:rsid w:val="00892AF7"/>
    <w:rsid w:val="008935A3"/>
    <w:rsid w:val="00894534"/>
    <w:rsid w:val="008953C3"/>
    <w:rsid w:val="00896B63"/>
    <w:rsid w:val="008A7089"/>
    <w:rsid w:val="008B2EFF"/>
    <w:rsid w:val="008C038E"/>
    <w:rsid w:val="008C5ACE"/>
    <w:rsid w:val="008C718C"/>
    <w:rsid w:val="008E33EE"/>
    <w:rsid w:val="008E53A2"/>
    <w:rsid w:val="008F11EC"/>
    <w:rsid w:val="008F2B23"/>
    <w:rsid w:val="0090708C"/>
    <w:rsid w:val="009159D7"/>
    <w:rsid w:val="00925FD5"/>
    <w:rsid w:val="009275D4"/>
    <w:rsid w:val="00934990"/>
    <w:rsid w:val="00936FF3"/>
    <w:rsid w:val="00943C96"/>
    <w:rsid w:val="009575CD"/>
    <w:rsid w:val="00981715"/>
    <w:rsid w:val="009918DD"/>
    <w:rsid w:val="00992024"/>
    <w:rsid w:val="009A7B9D"/>
    <w:rsid w:val="009B60A8"/>
    <w:rsid w:val="009C224D"/>
    <w:rsid w:val="009C79AE"/>
    <w:rsid w:val="009E1035"/>
    <w:rsid w:val="00A11246"/>
    <w:rsid w:val="00A22DAD"/>
    <w:rsid w:val="00A242C5"/>
    <w:rsid w:val="00A2693A"/>
    <w:rsid w:val="00A44E78"/>
    <w:rsid w:val="00A460B0"/>
    <w:rsid w:val="00A47E8D"/>
    <w:rsid w:val="00A6236B"/>
    <w:rsid w:val="00A64F42"/>
    <w:rsid w:val="00A66A36"/>
    <w:rsid w:val="00A823F3"/>
    <w:rsid w:val="00A84995"/>
    <w:rsid w:val="00A92221"/>
    <w:rsid w:val="00AA0259"/>
    <w:rsid w:val="00AB3A6E"/>
    <w:rsid w:val="00AB48F1"/>
    <w:rsid w:val="00AD5761"/>
    <w:rsid w:val="00AE2485"/>
    <w:rsid w:val="00AF03CE"/>
    <w:rsid w:val="00AF3384"/>
    <w:rsid w:val="00AF46F7"/>
    <w:rsid w:val="00B0355F"/>
    <w:rsid w:val="00B062C6"/>
    <w:rsid w:val="00B413E6"/>
    <w:rsid w:val="00B42E2A"/>
    <w:rsid w:val="00B43B0D"/>
    <w:rsid w:val="00B61F32"/>
    <w:rsid w:val="00B63BBD"/>
    <w:rsid w:val="00B74F4F"/>
    <w:rsid w:val="00B8658A"/>
    <w:rsid w:val="00B97462"/>
    <w:rsid w:val="00BA05FA"/>
    <w:rsid w:val="00BB1F5D"/>
    <w:rsid w:val="00BB2A50"/>
    <w:rsid w:val="00BB2B87"/>
    <w:rsid w:val="00BB75B3"/>
    <w:rsid w:val="00C25BED"/>
    <w:rsid w:val="00C604D6"/>
    <w:rsid w:val="00C640CA"/>
    <w:rsid w:val="00C71C07"/>
    <w:rsid w:val="00C71ECE"/>
    <w:rsid w:val="00C7313F"/>
    <w:rsid w:val="00C73169"/>
    <w:rsid w:val="00C7356F"/>
    <w:rsid w:val="00C80707"/>
    <w:rsid w:val="00C92F64"/>
    <w:rsid w:val="00C93324"/>
    <w:rsid w:val="00C95FEC"/>
    <w:rsid w:val="00C96D66"/>
    <w:rsid w:val="00CA032A"/>
    <w:rsid w:val="00CA0F62"/>
    <w:rsid w:val="00CA6D86"/>
    <w:rsid w:val="00CA7BF3"/>
    <w:rsid w:val="00CB5716"/>
    <w:rsid w:val="00CD321E"/>
    <w:rsid w:val="00CD55A6"/>
    <w:rsid w:val="00CD6E62"/>
    <w:rsid w:val="00CE2025"/>
    <w:rsid w:val="00CE6244"/>
    <w:rsid w:val="00CE7C7C"/>
    <w:rsid w:val="00D004CD"/>
    <w:rsid w:val="00D03012"/>
    <w:rsid w:val="00D12F97"/>
    <w:rsid w:val="00D22AE7"/>
    <w:rsid w:val="00D30557"/>
    <w:rsid w:val="00D33537"/>
    <w:rsid w:val="00D3501B"/>
    <w:rsid w:val="00D36BB1"/>
    <w:rsid w:val="00D41527"/>
    <w:rsid w:val="00D5527A"/>
    <w:rsid w:val="00D554FC"/>
    <w:rsid w:val="00D74B3E"/>
    <w:rsid w:val="00D76090"/>
    <w:rsid w:val="00D8243C"/>
    <w:rsid w:val="00D8476A"/>
    <w:rsid w:val="00D93374"/>
    <w:rsid w:val="00D952C5"/>
    <w:rsid w:val="00DA487D"/>
    <w:rsid w:val="00DA612F"/>
    <w:rsid w:val="00DA787D"/>
    <w:rsid w:val="00DB6757"/>
    <w:rsid w:val="00DB74FE"/>
    <w:rsid w:val="00DC5F20"/>
    <w:rsid w:val="00DF480B"/>
    <w:rsid w:val="00E02811"/>
    <w:rsid w:val="00E03D0F"/>
    <w:rsid w:val="00E404AA"/>
    <w:rsid w:val="00E437B9"/>
    <w:rsid w:val="00E50E82"/>
    <w:rsid w:val="00E76DFC"/>
    <w:rsid w:val="00E81FD8"/>
    <w:rsid w:val="00E8475B"/>
    <w:rsid w:val="00E86420"/>
    <w:rsid w:val="00E879E5"/>
    <w:rsid w:val="00EB2F0A"/>
    <w:rsid w:val="00EB3334"/>
    <w:rsid w:val="00EC36D3"/>
    <w:rsid w:val="00EC58CF"/>
    <w:rsid w:val="00ED1C5A"/>
    <w:rsid w:val="00ED6195"/>
    <w:rsid w:val="00ED7998"/>
    <w:rsid w:val="00F005A9"/>
    <w:rsid w:val="00F10039"/>
    <w:rsid w:val="00F15410"/>
    <w:rsid w:val="00F15948"/>
    <w:rsid w:val="00F15D8E"/>
    <w:rsid w:val="00F33263"/>
    <w:rsid w:val="00F5732D"/>
    <w:rsid w:val="00F57FCF"/>
    <w:rsid w:val="00F6227B"/>
    <w:rsid w:val="00F930D5"/>
    <w:rsid w:val="00FA038B"/>
    <w:rsid w:val="00FA18BF"/>
    <w:rsid w:val="00FB32A6"/>
    <w:rsid w:val="00FC1128"/>
    <w:rsid w:val="00FD00BC"/>
    <w:rsid w:val="00FD4C28"/>
    <w:rsid w:val="00FD59AD"/>
    <w:rsid w:val="00FE0FB7"/>
    <w:rsid w:val="00FE7C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30"/>
  </w:style>
  <w:style w:type="paragraph" w:styleId="Heading1">
    <w:name w:val="heading 1"/>
    <w:basedOn w:val="Normal"/>
    <w:next w:val="Normal"/>
    <w:link w:val="Heading1Char"/>
    <w:uiPriority w:val="9"/>
    <w:qFormat/>
    <w:rsid w:val="00554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32344"/>
    <w:pPr>
      <w:keepNext/>
      <w:spacing w:after="0" w:line="240" w:lineRule="auto"/>
      <w:ind w:left="-2127" w:right="284"/>
      <w:jc w:val="center"/>
      <w:outlineLvl w:val="2"/>
    </w:pPr>
    <w:rPr>
      <w:rFonts w:ascii="Times New Roman" w:eastAsia="Times New Roman" w:hAnsi="Times New Roman" w:cs="Times New Roman"/>
      <w:sz w:val="24"/>
      <w:szCs w:val="20"/>
      <w:lang w:val="ro-RO" w:eastAsia="ru-RU"/>
    </w:rPr>
  </w:style>
  <w:style w:type="paragraph" w:styleId="Heading5">
    <w:name w:val="heading 5"/>
    <w:basedOn w:val="Normal"/>
    <w:next w:val="Normal"/>
    <w:link w:val="Heading5Char"/>
    <w:uiPriority w:val="9"/>
    <w:semiHidden/>
    <w:unhideWhenUsed/>
    <w:qFormat/>
    <w:rsid w:val="005541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1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432344"/>
    <w:rPr>
      <w:rFonts w:ascii="Times New Roman" w:eastAsia="Times New Roman" w:hAnsi="Times New Roman" w:cs="Times New Roman"/>
      <w:sz w:val="24"/>
      <w:szCs w:val="20"/>
      <w:lang w:val="ro-RO" w:eastAsia="ru-RU"/>
    </w:rPr>
  </w:style>
  <w:style w:type="character" w:customStyle="1" w:styleId="Heading5Char">
    <w:name w:val="Heading 5 Char"/>
    <w:basedOn w:val="DefaultParagraphFont"/>
    <w:link w:val="Heading5"/>
    <w:uiPriority w:val="9"/>
    <w:semiHidden/>
    <w:rsid w:val="0055418A"/>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0E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73"/>
    <w:rPr>
      <w:rFonts w:ascii="Segoe UI" w:hAnsi="Segoe UI" w:cs="Segoe UI"/>
      <w:sz w:val="18"/>
      <w:szCs w:val="18"/>
    </w:rPr>
  </w:style>
  <w:style w:type="character" w:styleId="Hyperlink">
    <w:name w:val="Hyperlink"/>
    <w:uiPriority w:val="99"/>
    <w:rsid w:val="00FD4C28"/>
    <w:rPr>
      <w:color w:val="0000FF"/>
      <w:u w:val="single"/>
    </w:rPr>
  </w:style>
  <w:style w:type="paragraph" w:styleId="Header">
    <w:name w:val="header"/>
    <w:basedOn w:val="Normal"/>
    <w:link w:val="HeaderChar"/>
    <w:uiPriority w:val="99"/>
    <w:unhideWhenUsed/>
    <w:rsid w:val="00355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DA"/>
  </w:style>
  <w:style w:type="paragraph" w:styleId="Footer">
    <w:name w:val="footer"/>
    <w:basedOn w:val="Normal"/>
    <w:link w:val="FooterChar"/>
    <w:uiPriority w:val="99"/>
    <w:unhideWhenUsed/>
    <w:rsid w:val="00355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DA"/>
  </w:style>
  <w:style w:type="table" w:styleId="TableGrid">
    <w:name w:val="Table Grid"/>
    <w:basedOn w:val="TableNormal"/>
    <w:rsid w:val="00E50E82"/>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32344"/>
    <w:pPr>
      <w:spacing w:after="0" w:line="240" w:lineRule="auto"/>
      <w:ind w:left="567"/>
      <w:jc w:val="both"/>
    </w:pPr>
    <w:rPr>
      <w:rFonts w:ascii="Times New Roman" w:eastAsia="Times New Roman" w:hAnsi="Times New Roman" w:cs="Times New Roman"/>
      <w:sz w:val="28"/>
      <w:szCs w:val="20"/>
      <w:lang w:val="ro-RO" w:eastAsia="ru-RU"/>
    </w:rPr>
  </w:style>
  <w:style w:type="character" w:customStyle="1" w:styleId="BodyTextIndentChar">
    <w:name w:val="Body Text Indent Char"/>
    <w:basedOn w:val="DefaultParagraphFont"/>
    <w:link w:val="BodyTextIndent"/>
    <w:rsid w:val="00432344"/>
    <w:rPr>
      <w:rFonts w:ascii="Times New Roman" w:eastAsia="Times New Roman" w:hAnsi="Times New Roman" w:cs="Times New Roman"/>
      <w:sz w:val="28"/>
      <w:szCs w:val="20"/>
      <w:lang w:val="ro-RO" w:eastAsia="ru-RU"/>
    </w:rPr>
  </w:style>
  <w:style w:type="paragraph" w:customStyle="1" w:styleId="Default">
    <w:name w:val="Default"/>
    <w:rsid w:val="00DA612F"/>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uiPriority w:val="22"/>
    <w:qFormat/>
    <w:rsid w:val="00245071"/>
    <w:rPr>
      <w:b/>
      <w:bCs/>
    </w:rPr>
  </w:style>
  <w:style w:type="paragraph" w:styleId="NormalWeb">
    <w:name w:val="Normal (Web)"/>
    <w:basedOn w:val="Normal"/>
    <w:uiPriority w:val="99"/>
    <w:unhideWhenUsed/>
    <w:rsid w:val="00637D6B"/>
    <w:pPr>
      <w:spacing w:after="0" w:line="240" w:lineRule="auto"/>
      <w:ind w:firstLine="567"/>
      <w:jc w:val="both"/>
    </w:pPr>
    <w:rPr>
      <w:rFonts w:ascii="Times New Roman" w:eastAsia="Times New Roman" w:hAnsi="Times New Roman" w:cs="Times New Roman"/>
      <w:sz w:val="24"/>
      <w:szCs w:val="24"/>
      <w:lang w:val="en-GB" w:eastAsia="en-GB"/>
    </w:rPr>
  </w:style>
  <w:style w:type="paragraph" w:customStyle="1" w:styleId="tt">
    <w:name w:val="tt"/>
    <w:basedOn w:val="Normal"/>
    <w:rsid w:val="00637D6B"/>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pb">
    <w:name w:val="pb"/>
    <w:basedOn w:val="Normal"/>
    <w:rsid w:val="00637D6B"/>
    <w:pPr>
      <w:spacing w:after="0" w:line="240" w:lineRule="auto"/>
      <w:jc w:val="center"/>
    </w:pPr>
    <w:rPr>
      <w:rFonts w:ascii="Times New Roman" w:eastAsia="Times New Roman" w:hAnsi="Times New Roman" w:cs="Times New Roman"/>
      <w:i/>
      <w:iCs/>
      <w:color w:val="663300"/>
      <w:sz w:val="20"/>
      <w:szCs w:val="20"/>
      <w:lang w:val="en-GB" w:eastAsia="en-GB"/>
    </w:rPr>
  </w:style>
  <w:style w:type="paragraph" w:customStyle="1" w:styleId="cn">
    <w:name w:val="cn"/>
    <w:basedOn w:val="Normal"/>
    <w:rsid w:val="00637D6B"/>
    <w:pPr>
      <w:spacing w:after="0" w:line="240" w:lineRule="auto"/>
      <w:jc w:val="center"/>
    </w:pPr>
    <w:rPr>
      <w:rFonts w:ascii="Times New Roman" w:eastAsia="Times New Roman" w:hAnsi="Times New Roman" w:cs="Times New Roman"/>
      <w:sz w:val="24"/>
      <w:szCs w:val="24"/>
      <w:lang w:val="en-GB" w:eastAsia="en-GB"/>
    </w:rPr>
  </w:style>
  <w:style w:type="paragraph" w:customStyle="1" w:styleId="cb">
    <w:name w:val="cb"/>
    <w:basedOn w:val="Normal"/>
    <w:rsid w:val="00637D6B"/>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Bodytext2">
    <w:name w:val="Body text (2)_"/>
    <w:basedOn w:val="DefaultParagraphFont"/>
    <w:link w:val="Bodytext20"/>
    <w:rsid w:val="00D5527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5527A"/>
    <w:pPr>
      <w:widowControl w:val="0"/>
      <w:shd w:val="clear" w:color="auto" w:fill="FFFFFF"/>
      <w:spacing w:before="60" w:after="300" w:line="0" w:lineRule="atLeast"/>
      <w:ind w:hanging="880"/>
      <w:jc w:val="center"/>
    </w:pPr>
    <w:rPr>
      <w:rFonts w:ascii="Times New Roman" w:eastAsia="Times New Roman" w:hAnsi="Times New Roman" w:cs="Times New Roman"/>
    </w:rPr>
  </w:style>
  <w:style w:type="paragraph" w:styleId="ListParagraph">
    <w:name w:val="List Paragraph"/>
    <w:basedOn w:val="Normal"/>
    <w:uiPriority w:val="1"/>
    <w:qFormat/>
    <w:rsid w:val="00AF46F7"/>
    <w:pPr>
      <w:ind w:left="720"/>
      <w:contextualSpacing/>
    </w:pPr>
  </w:style>
  <w:style w:type="character" w:customStyle="1" w:styleId="ppar">
    <w:name w:val="p_par"/>
    <w:basedOn w:val="DefaultParagraphFont"/>
    <w:rsid w:val="004E07C3"/>
  </w:style>
  <w:style w:type="character" w:styleId="FollowedHyperlink">
    <w:name w:val="FollowedHyperlink"/>
    <w:basedOn w:val="DefaultParagraphFont"/>
    <w:uiPriority w:val="99"/>
    <w:semiHidden/>
    <w:unhideWhenUsed/>
    <w:rsid w:val="00CA7BF3"/>
    <w:rPr>
      <w:color w:val="800080"/>
      <w:u w:val="single"/>
    </w:rPr>
  </w:style>
  <w:style w:type="table" w:customStyle="1" w:styleId="TableNormal1">
    <w:name w:val="Table Normal1"/>
    <w:uiPriority w:val="2"/>
    <w:semiHidden/>
    <w:unhideWhenUsed/>
    <w:qFormat/>
    <w:rsid w:val="003D320C"/>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320C"/>
    <w:pPr>
      <w:widowControl w:val="0"/>
      <w:spacing w:after="0" w:line="240" w:lineRule="auto"/>
    </w:pPr>
  </w:style>
  <w:style w:type="paragraph" w:styleId="NoSpacing">
    <w:name w:val="No Spacing"/>
    <w:uiPriority w:val="1"/>
    <w:qFormat/>
    <w:rsid w:val="003D320C"/>
    <w:pPr>
      <w:widowControl w:val="0"/>
      <w:spacing w:after="0" w:line="240" w:lineRule="auto"/>
    </w:pPr>
  </w:style>
  <w:style w:type="paragraph" w:customStyle="1" w:styleId="tbl-txt">
    <w:name w:val="tbl-txt"/>
    <w:basedOn w:val="Normal"/>
    <w:rsid w:val="00DB675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4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432344"/>
    <w:pPr>
      <w:keepNext/>
      <w:spacing w:after="0" w:line="240" w:lineRule="auto"/>
      <w:ind w:left="-2127" w:right="284"/>
      <w:jc w:val="center"/>
      <w:outlineLvl w:val="2"/>
    </w:pPr>
    <w:rPr>
      <w:rFonts w:ascii="Times New Roman" w:eastAsia="Times New Roman" w:hAnsi="Times New Roman" w:cs="Times New Roman"/>
      <w:sz w:val="24"/>
      <w:szCs w:val="20"/>
      <w:lang w:val="ro-RO" w:eastAsia="ru-RU"/>
    </w:rPr>
  </w:style>
  <w:style w:type="paragraph" w:styleId="5">
    <w:name w:val="heading 5"/>
    <w:basedOn w:val="a"/>
    <w:next w:val="a"/>
    <w:link w:val="50"/>
    <w:uiPriority w:val="9"/>
    <w:semiHidden/>
    <w:unhideWhenUsed/>
    <w:qFormat/>
    <w:rsid w:val="005541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18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432344"/>
    <w:rPr>
      <w:rFonts w:ascii="Times New Roman" w:eastAsia="Times New Roman" w:hAnsi="Times New Roman" w:cs="Times New Roman"/>
      <w:sz w:val="24"/>
      <w:szCs w:val="20"/>
      <w:lang w:val="ro-RO" w:eastAsia="ru-RU"/>
    </w:rPr>
  </w:style>
  <w:style w:type="character" w:customStyle="1" w:styleId="50">
    <w:name w:val="Заголовок 5 Знак"/>
    <w:basedOn w:val="a0"/>
    <w:link w:val="5"/>
    <w:uiPriority w:val="9"/>
    <w:semiHidden/>
    <w:rsid w:val="0055418A"/>
    <w:rPr>
      <w:rFonts w:asciiTheme="majorHAnsi" w:eastAsiaTheme="majorEastAsia" w:hAnsiTheme="majorHAnsi" w:cstheme="majorBidi"/>
      <w:color w:val="2E74B5" w:themeColor="accent1" w:themeShade="BF"/>
    </w:rPr>
  </w:style>
  <w:style w:type="paragraph" w:styleId="a3">
    <w:name w:val="Balloon Text"/>
    <w:basedOn w:val="a"/>
    <w:link w:val="a4"/>
    <w:uiPriority w:val="99"/>
    <w:semiHidden/>
    <w:unhideWhenUsed/>
    <w:rsid w:val="000E16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1673"/>
    <w:rPr>
      <w:rFonts w:ascii="Segoe UI" w:hAnsi="Segoe UI" w:cs="Segoe UI"/>
      <w:sz w:val="18"/>
      <w:szCs w:val="18"/>
    </w:rPr>
  </w:style>
  <w:style w:type="character" w:styleId="a5">
    <w:name w:val="Hyperlink"/>
    <w:uiPriority w:val="99"/>
    <w:rsid w:val="00FD4C28"/>
    <w:rPr>
      <w:color w:val="0000FF"/>
      <w:u w:val="single"/>
    </w:rPr>
  </w:style>
  <w:style w:type="paragraph" w:styleId="a6">
    <w:name w:val="header"/>
    <w:basedOn w:val="a"/>
    <w:link w:val="a7"/>
    <w:uiPriority w:val="99"/>
    <w:unhideWhenUsed/>
    <w:rsid w:val="003550DA"/>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3550DA"/>
  </w:style>
  <w:style w:type="paragraph" w:styleId="a8">
    <w:name w:val="footer"/>
    <w:basedOn w:val="a"/>
    <w:link w:val="a9"/>
    <w:uiPriority w:val="99"/>
    <w:unhideWhenUsed/>
    <w:rsid w:val="003550DA"/>
    <w:pPr>
      <w:tabs>
        <w:tab w:val="center" w:pos="4680"/>
        <w:tab w:val="right" w:pos="9360"/>
      </w:tabs>
      <w:spacing w:after="0" w:line="240" w:lineRule="auto"/>
    </w:pPr>
  </w:style>
  <w:style w:type="character" w:customStyle="1" w:styleId="a9">
    <w:name w:val="Нижний колонтитул Знак"/>
    <w:basedOn w:val="a0"/>
    <w:link w:val="a8"/>
    <w:uiPriority w:val="99"/>
    <w:rsid w:val="003550DA"/>
  </w:style>
  <w:style w:type="table" w:styleId="aa">
    <w:name w:val="Table Grid"/>
    <w:basedOn w:val="a1"/>
    <w:rsid w:val="00E50E82"/>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432344"/>
    <w:pPr>
      <w:spacing w:after="0" w:line="240" w:lineRule="auto"/>
      <w:ind w:left="567"/>
      <w:jc w:val="both"/>
    </w:pPr>
    <w:rPr>
      <w:rFonts w:ascii="Times New Roman" w:eastAsia="Times New Roman" w:hAnsi="Times New Roman" w:cs="Times New Roman"/>
      <w:sz w:val="28"/>
      <w:szCs w:val="20"/>
      <w:lang w:val="ro-RO" w:eastAsia="ru-RU"/>
    </w:rPr>
  </w:style>
  <w:style w:type="character" w:customStyle="1" w:styleId="ac">
    <w:name w:val="Основной текст с отступом Знак"/>
    <w:basedOn w:val="a0"/>
    <w:link w:val="ab"/>
    <w:rsid w:val="00432344"/>
    <w:rPr>
      <w:rFonts w:ascii="Times New Roman" w:eastAsia="Times New Roman" w:hAnsi="Times New Roman" w:cs="Times New Roman"/>
      <w:sz w:val="28"/>
      <w:szCs w:val="20"/>
      <w:lang w:val="ro-RO" w:eastAsia="ru-RU"/>
    </w:rPr>
  </w:style>
  <w:style w:type="paragraph" w:customStyle="1" w:styleId="Default">
    <w:name w:val="Default"/>
    <w:rsid w:val="00DA612F"/>
    <w:pPr>
      <w:autoSpaceDE w:val="0"/>
      <w:autoSpaceDN w:val="0"/>
      <w:adjustRightInd w:val="0"/>
      <w:spacing w:after="0" w:line="240" w:lineRule="auto"/>
    </w:pPr>
    <w:rPr>
      <w:rFonts w:ascii="Arial" w:hAnsi="Arial" w:cs="Arial"/>
      <w:color w:val="000000"/>
      <w:sz w:val="24"/>
      <w:szCs w:val="24"/>
      <w:lang w:val="en-GB"/>
    </w:rPr>
  </w:style>
  <w:style w:type="character" w:styleId="ad">
    <w:name w:val="Strong"/>
    <w:basedOn w:val="a0"/>
    <w:uiPriority w:val="22"/>
    <w:qFormat/>
    <w:rsid w:val="00245071"/>
    <w:rPr>
      <w:b/>
      <w:bCs/>
    </w:rPr>
  </w:style>
  <w:style w:type="paragraph" w:styleId="ae">
    <w:name w:val="Normal (Web)"/>
    <w:basedOn w:val="a"/>
    <w:uiPriority w:val="99"/>
    <w:unhideWhenUsed/>
    <w:rsid w:val="00637D6B"/>
    <w:pPr>
      <w:spacing w:after="0" w:line="240" w:lineRule="auto"/>
      <w:ind w:firstLine="567"/>
      <w:jc w:val="both"/>
    </w:pPr>
    <w:rPr>
      <w:rFonts w:ascii="Times New Roman" w:eastAsia="Times New Roman" w:hAnsi="Times New Roman" w:cs="Times New Roman"/>
      <w:sz w:val="24"/>
      <w:szCs w:val="24"/>
      <w:lang w:val="en-GB" w:eastAsia="en-GB"/>
    </w:rPr>
  </w:style>
  <w:style w:type="paragraph" w:customStyle="1" w:styleId="tt">
    <w:name w:val="tt"/>
    <w:basedOn w:val="a"/>
    <w:rsid w:val="00637D6B"/>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pb">
    <w:name w:val="pb"/>
    <w:basedOn w:val="a"/>
    <w:rsid w:val="00637D6B"/>
    <w:pPr>
      <w:spacing w:after="0" w:line="240" w:lineRule="auto"/>
      <w:jc w:val="center"/>
    </w:pPr>
    <w:rPr>
      <w:rFonts w:ascii="Times New Roman" w:eastAsia="Times New Roman" w:hAnsi="Times New Roman" w:cs="Times New Roman"/>
      <w:i/>
      <w:iCs/>
      <w:color w:val="663300"/>
      <w:sz w:val="20"/>
      <w:szCs w:val="20"/>
      <w:lang w:val="en-GB" w:eastAsia="en-GB"/>
    </w:rPr>
  </w:style>
  <w:style w:type="paragraph" w:customStyle="1" w:styleId="cn">
    <w:name w:val="cn"/>
    <w:basedOn w:val="a"/>
    <w:rsid w:val="00637D6B"/>
    <w:pPr>
      <w:spacing w:after="0" w:line="240" w:lineRule="auto"/>
      <w:jc w:val="center"/>
    </w:pPr>
    <w:rPr>
      <w:rFonts w:ascii="Times New Roman" w:eastAsia="Times New Roman" w:hAnsi="Times New Roman" w:cs="Times New Roman"/>
      <w:sz w:val="24"/>
      <w:szCs w:val="24"/>
      <w:lang w:val="en-GB" w:eastAsia="en-GB"/>
    </w:rPr>
  </w:style>
  <w:style w:type="paragraph" w:customStyle="1" w:styleId="cb">
    <w:name w:val="cb"/>
    <w:basedOn w:val="a"/>
    <w:rsid w:val="00637D6B"/>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Bodytext2">
    <w:name w:val="Body text (2)_"/>
    <w:basedOn w:val="a0"/>
    <w:link w:val="Bodytext20"/>
    <w:rsid w:val="00D5527A"/>
    <w:rPr>
      <w:rFonts w:ascii="Times New Roman" w:eastAsia="Times New Roman" w:hAnsi="Times New Roman" w:cs="Times New Roman"/>
      <w:shd w:val="clear" w:color="auto" w:fill="FFFFFF"/>
    </w:rPr>
  </w:style>
  <w:style w:type="paragraph" w:customStyle="1" w:styleId="Bodytext20">
    <w:name w:val="Body text (2)"/>
    <w:basedOn w:val="a"/>
    <w:link w:val="Bodytext2"/>
    <w:rsid w:val="00D5527A"/>
    <w:pPr>
      <w:widowControl w:val="0"/>
      <w:shd w:val="clear" w:color="auto" w:fill="FFFFFF"/>
      <w:spacing w:before="60" w:after="300" w:line="0" w:lineRule="atLeast"/>
      <w:ind w:hanging="880"/>
      <w:jc w:val="center"/>
    </w:pPr>
    <w:rPr>
      <w:rFonts w:ascii="Times New Roman" w:eastAsia="Times New Roman" w:hAnsi="Times New Roman" w:cs="Times New Roman"/>
    </w:rPr>
  </w:style>
  <w:style w:type="paragraph" w:styleId="af">
    <w:name w:val="List Paragraph"/>
    <w:basedOn w:val="a"/>
    <w:uiPriority w:val="1"/>
    <w:qFormat/>
    <w:rsid w:val="00AF46F7"/>
    <w:pPr>
      <w:ind w:left="720"/>
      <w:contextualSpacing/>
    </w:pPr>
  </w:style>
  <w:style w:type="character" w:customStyle="1" w:styleId="ppar">
    <w:name w:val="p_par"/>
    <w:basedOn w:val="a0"/>
    <w:rsid w:val="004E07C3"/>
  </w:style>
  <w:style w:type="character" w:styleId="af0">
    <w:name w:val="FollowedHyperlink"/>
    <w:basedOn w:val="a0"/>
    <w:uiPriority w:val="99"/>
    <w:semiHidden/>
    <w:unhideWhenUsed/>
    <w:rsid w:val="00CA7BF3"/>
    <w:rPr>
      <w:color w:val="800080"/>
      <w:u w:val="single"/>
    </w:rPr>
  </w:style>
  <w:style w:type="table" w:customStyle="1" w:styleId="TableNormal1">
    <w:name w:val="Table Normal1"/>
    <w:uiPriority w:val="2"/>
    <w:semiHidden/>
    <w:unhideWhenUsed/>
    <w:qFormat/>
    <w:rsid w:val="003D320C"/>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320C"/>
    <w:pPr>
      <w:widowControl w:val="0"/>
      <w:spacing w:after="0" w:line="240" w:lineRule="auto"/>
    </w:pPr>
  </w:style>
  <w:style w:type="paragraph" w:styleId="af1">
    <w:name w:val="No Spacing"/>
    <w:uiPriority w:val="1"/>
    <w:qFormat/>
    <w:rsid w:val="003D320C"/>
    <w:pPr>
      <w:widowControl w:val="0"/>
      <w:spacing w:after="0" w:line="240" w:lineRule="auto"/>
    </w:pPr>
  </w:style>
  <w:style w:type="paragraph" w:customStyle="1" w:styleId="tbl-txt">
    <w:name w:val="tbl-txt"/>
    <w:basedOn w:val="a"/>
    <w:rsid w:val="00DB675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91056529">
      <w:bodyDiv w:val="1"/>
      <w:marLeft w:val="0"/>
      <w:marRight w:val="0"/>
      <w:marTop w:val="0"/>
      <w:marBottom w:val="0"/>
      <w:divBdr>
        <w:top w:val="none" w:sz="0" w:space="0" w:color="auto"/>
        <w:left w:val="none" w:sz="0" w:space="0" w:color="auto"/>
        <w:bottom w:val="none" w:sz="0" w:space="0" w:color="auto"/>
        <w:right w:val="none" w:sz="0" w:space="0" w:color="auto"/>
      </w:divBdr>
      <w:divsChild>
        <w:div w:id="1499617182">
          <w:marLeft w:val="0"/>
          <w:marRight w:val="0"/>
          <w:marTop w:val="0"/>
          <w:marBottom w:val="0"/>
          <w:divBdr>
            <w:top w:val="none" w:sz="0" w:space="0" w:color="auto"/>
            <w:left w:val="none" w:sz="0" w:space="0" w:color="auto"/>
            <w:bottom w:val="none" w:sz="0" w:space="0" w:color="auto"/>
            <w:right w:val="none" w:sz="0" w:space="0" w:color="auto"/>
          </w:divBdr>
        </w:div>
        <w:div w:id="1682850756">
          <w:marLeft w:val="0"/>
          <w:marRight w:val="0"/>
          <w:marTop w:val="0"/>
          <w:marBottom w:val="0"/>
          <w:divBdr>
            <w:top w:val="none" w:sz="0" w:space="0" w:color="auto"/>
            <w:left w:val="none" w:sz="0" w:space="0" w:color="auto"/>
            <w:bottom w:val="none" w:sz="0" w:space="0" w:color="auto"/>
            <w:right w:val="none" w:sz="0" w:space="0" w:color="auto"/>
          </w:divBdr>
        </w:div>
        <w:div w:id="1681271487">
          <w:marLeft w:val="0"/>
          <w:marRight w:val="0"/>
          <w:marTop w:val="0"/>
          <w:marBottom w:val="0"/>
          <w:divBdr>
            <w:top w:val="none" w:sz="0" w:space="0" w:color="auto"/>
            <w:left w:val="none" w:sz="0" w:space="0" w:color="auto"/>
            <w:bottom w:val="none" w:sz="0" w:space="0" w:color="auto"/>
            <w:right w:val="none" w:sz="0" w:space="0" w:color="auto"/>
          </w:divBdr>
        </w:div>
      </w:divsChild>
    </w:div>
    <w:div w:id="95638560">
      <w:bodyDiv w:val="1"/>
      <w:marLeft w:val="0"/>
      <w:marRight w:val="0"/>
      <w:marTop w:val="0"/>
      <w:marBottom w:val="0"/>
      <w:divBdr>
        <w:top w:val="none" w:sz="0" w:space="0" w:color="auto"/>
        <w:left w:val="none" w:sz="0" w:space="0" w:color="auto"/>
        <w:bottom w:val="none" w:sz="0" w:space="0" w:color="auto"/>
        <w:right w:val="none" w:sz="0" w:space="0" w:color="auto"/>
      </w:divBdr>
    </w:div>
    <w:div w:id="125127112">
      <w:bodyDiv w:val="1"/>
      <w:marLeft w:val="0"/>
      <w:marRight w:val="0"/>
      <w:marTop w:val="0"/>
      <w:marBottom w:val="0"/>
      <w:divBdr>
        <w:top w:val="none" w:sz="0" w:space="0" w:color="auto"/>
        <w:left w:val="none" w:sz="0" w:space="0" w:color="auto"/>
        <w:bottom w:val="none" w:sz="0" w:space="0" w:color="auto"/>
        <w:right w:val="none" w:sz="0" w:space="0" w:color="auto"/>
      </w:divBdr>
    </w:div>
    <w:div w:id="189807533">
      <w:bodyDiv w:val="1"/>
      <w:marLeft w:val="0"/>
      <w:marRight w:val="0"/>
      <w:marTop w:val="0"/>
      <w:marBottom w:val="0"/>
      <w:divBdr>
        <w:top w:val="none" w:sz="0" w:space="0" w:color="auto"/>
        <w:left w:val="none" w:sz="0" w:space="0" w:color="auto"/>
        <w:bottom w:val="none" w:sz="0" w:space="0" w:color="auto"/>
        <w:right w:val="none" w:sz="0" w:space="0" w:color="auto"/>
      </w:divBdr>
    </w:div>
    <w:div w:id="234781274">
      <w:bodyDiv w:val="1"/>
      <w:marLeft w:val="0"/>
      <w:marRight w:val="0"/>
      <w:marTop w:val="0"/>
      <w:marBottom w:val="0"/>
      <w:divBdr>
        <w:top w:val="none" w:sz="0" w:space="0" w:color="auto"/>
        <w:left w:val="none" w:sz="0" w:space="0" w:color="auto"/>
        <w:bottom w:val="none" w:sz="0" w:space="0" w:color="auto"/>
        <w:right w:val="none" w:sz="0" w:space="0" w:color="auto"/>
      </w:divBdr>
    </w:div>
    <w:div w:id="450781225">
      <w:bodyDiv w:val="1"/>
      <w:marLeft w:val="0"/>
      <w:marRight w:val="0"/>
      <w:marTop w:val="0"/>
      <w:marBottom w:val="0"/>
      <w:divBdr>
        <w:top w:val="none" w:sz="0" w:space="0" w:color="auto"/>
        <w:left w:val="none" w:sz="0" w:space="0" w:color="auto"/>
        <w:bottom w:val="none" w:sz="0" w:space="0" w:color="auto"/>
        <w:right w:val="none" w:sz="0" w:space="0" w:color="auto"/>
      </w:divBdr>
    </w:div>
    <w:div w:id="529563171">
      <w:bodyDiv w:val="1"/>
      <w:marLeft w:val="0"/>
      <w:marRight w:val="0"/>
      <w:marTop w:val="0"/>
      <w:marBottom w:val="0"/>
      <w:divBdr>
        <w:top w:val="none" w:sz="0" w:space="0" w:color="auto"/>
        <w:left w:val="none" w:sz="0" w:space="0" w:color="auto"/>
        <w:bottom w:val="none" w:sz="0" w:space="0" w:color="auto"/>
        <w:right w:val="none" w:sz="0" w:space="0" w:color="auto"/>
      </w:divBdr>
    </w:div>
    <w:div w:id="684479640">
      <w:bodyDiv w:val="1"/>
      <w:marLeft w:val="0"/>
      <w:marRight w:val="0"/>
      <w:marTop w:val="0"/>
      <w:marBottom w:val="0"/>
      <w:divBdr>
        <w:top w:val="none" w:sz="0" w:space="0" w:color="auto"/>
        <w:left w:val="none" w:sz="0" w:space="0" w:color="auto"/>
        <w:bottom w:val="none" w:sz="0" w:space="0" w:color="auto"/>
        <w:right w:val="none" w:sz="0" w:space="0" w:color="auto"/>
      </w:divBdr>
    </w:div>
    <w:div w:id="757143427">
      <w:bodyDiv w:val="1"/>
      <w:marLeft w:val="0"/>
      <w:marRight w:val="0"/>
      <w:marTop w:val="0"/>
      <w:marBottom w:val="0"/>
      <w:divBdr>
        <w:top w:val="none" w:sz="0" w:space="0" w:color="auto"/>
        <w:left w:val="none" w:sz="0" w:space="0" w:color="auto"/>
        <w:bottom w:val="none" w:sz="0" w:space="0" w:color="auto"/>
        <w:right w:val="none" w:sz="0" w:space="0" w:color="auto"/>
      </w:divBdr>
    </w:div>
    <w:div w:id="783576659">
      <w:bodyDiv w:val="1"/>
      <w:marLeft w:val="0"/>
      <w:marRight w:val="0"/>
      <w:marTop w:val="0"/>
      <w:marBottom w:val="0"/>
      <w:divBdr>
        <w:top w:val="none" w:sz="0" w:space="0" w:color="auto"/>
        <w:left w:val="none" w:sz="0" w:space="0" w:color="auto"/>
        <w:bottom w:val="none" w:sz="0" w:space="0" w:color="auto"/>
        <w:right w:val="none" w:sz="0" w:space="0" w:color="auto"/>
      </w:divBdr>
    </w:div>
    <w:div w:id="1094399536">
      <w:bodyDiv w:val="1"/>
      <w:marLeft w:val="0"/>
      <w:marRight w:val="0"/>
      <w:marTop w:val="0"/>
      <w:marBottom w:val="0"/>
      <w:divBdr>
        <w:top w:val="none" w:sz="0" w:space="0" w:color="auto"/>
        <w:left w:val="none" w:sz="0" w:space="0" w:color="auto"/>
        <w:bottom w:val="none" w:sz="0" w:space="0" w:color="auto"/>
        <w:right w:val="none" w:sz="0" w:space="0" w:color="auto"/>
      </w:divBdr>
    </w:div>
    <w:div w:id="1149713294">
      <w:bodyDiv w:val="1"/>
      <w:marLeft w:val="0"/>
      <w:marRight w:val="0"/>
      <w:marTop w:val="0"/>
      <w:marBottom w:val="0"/>
      <w:divBdr>
        <w:top w:val="none" w:sz="0" w:space="0" w:color="auto"/>
        <w:left w:val="none" w:sz="0" w:space="0" w:color="auto"/>
        <w:bottom w:val="none" w:sz="0" w:space="0" w:color="auto"/>
        <w:right w:val="none" w:sz="0" w:space="0" w:color="auto"/>
      </w:divBdr>
    </w:div>
    <w:div w:id="1153721527">
      <w:bodyDiv w:val="1"/>
      <w:marLeft w:val="0"/>
      <w:marRight w:val="0"/>
      <w:marTop w:val="0"/>
      <w:marBottom w:val="0"/>
      <w:divBdr>
        <w:top w:val="none" w:sz="0" w:space="0" w:color="auto"/>
        <w:left w:val="none" w:sz="0" w:space="0" w:color="auto"/>
        <w:bottom w:val="none" w:sz="0" w:space="0" w:color="auto"/>
        <w:right w:val="none" w:sz="0" w:space="0" w:color="auto"/>
      </w:divBdr>
    </w:div>
    <w:div w:id="1534266293">
      <w:bodyDiv w:val="1"/>
      <w:marLeft w:val="0"/>
      <w:marRight w:val="0"/>
      <w:marTop w:val="0"/>
      <w:marBottom w:val="0"/>
      <w:divBdr>
        <w:top w:val="none" w:sz="0" w:space="0" w:color="auto"/>
        <w:left w:val="none" w:sz="0" w:space="0" w:color="auto"/>
        <w:bottom w:val="none" w:sz="0" w:space="0" w:color="auto"/>
        <w:right w:val="none" w:sz="0" w:space="0" w:color="auto"/>
      </w:divBdr>
    </w:div>
    <w:div w:id="1583949261">
      <w:bodyDiv w:val="1"/>
      <w:marLeft w:val="0"/>
      <w:marRight w:val="0"/>
      <w:marTop w:val="0"/>
      <w:marBottom w:val="0"/>
      <w:divBdr>
        <w:top w:val="none" w:sz="0" w:space="0" w:color="auto"/>
        <w:left w:val="none" w:sz="0" w:space="0" w:color="auto"/>
        <w:bottom w:val="none" w:sz="0" w:space="0" w:color="auto"/>
        <w:right w:val="none" w:sz="0" w:space="0" w:color="auto"/>
      </w:divBdr>
      <w:divsChild>
        <w:div w:id="1735465504">
          <w:marLeft w:val="0"/>
          <w:marRight w:val="0"/>
          <w:marTop w:val="0"/>
          <w:marBottom w:val="0"/>
          <w:divBdr>
            <w:top w:val="none" w:sz="0" w:space="0" w:color="auto"/>
            <w:left w:val="none" w:sz="0" w:space="0" w:color="auto"/>
            <w:bottom w:val="none" w:sz="0" w:space="0" w:color="auto"/>
            <w:right w:val="none" w:sz="0" w:space="0" w:color="auto"/>
          </w:divBdr>
          <w:divsChild>
            <w:div w:id="217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6913">
      <w:bodyDiv w:val="1"/>
      <w:marLeft w:val="0"/>
      <w:marRight w:val="0"/>
      <w:marTop w:val="0"/>
      <w:marBottom w:val="0"/>
      <w:divBdr>
        <w:top w:val="none" w:sz="0" w:space="0" w:color="auto"/>
        <w:left w:val="none" w:sz="0" w:space="0" w:color="auto"/>
        <w:bottom w:val="none" w:sz="0" w:space="0" w:color="auto"/>
        <w:right w:val="none" w:sz="0" w:space="0" w:color="auto"/>
      </w:divBdr>
    </w:div>
    <w:div w:id="1985741999">
      <w:bodyDiv w:val="1"/>
      <w:marLeft w:val="0"/>
      <w:marRight w:val="0"/>
      <w:marTop w:val="0"/>
      <w:marBottom w:val="0"/>
      <w:divBdr>
        <w:top w:val="none" w:sz="0" w:space="0" w:color="auto"/>
        <w:left w:val="none" w:sz="0" w:space="0" w:color="auto"/>
        <w:bottom w:val="none" w:sz="0" w:space="0" w:color="auto"/>
        <w:right w:val="none" w:sz="0" w:space="0" w:color="auto"/>
      </w:divBdr>
      <w:divsChild>
        <w:div w:id="1033071233">
          <w:marLeft w:val="0"/>
          <w:marRight w:val="0"/>
          <w:marTop w:val="0"/>
          <w:marBottom w:val="0"/>
          <w:divBdr>
            <w:top w:val="none" w:sz="0" w:space="0" w:color="auto"/>
            <w:left w:val="none" w:sz="0" w:space="0" w:color="auto"/>
            <w:bottom w:val="none" w:sz="0" w:space="0" w:color="auto"/>
            <w:right w:val="none" w:sz="0" w:space="0" w:color="auto"/>
          </w:divBdr>
          <w:divsChild>
            <w:div w:id="5798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ingle-market/european-standards/harmonised-standards/toys_en" TargetMode="External"/><Relationship Id="rId13" Type="http://schemas.openxmlformats.org/officeDocument/2006/relationships/hyperlink" Target="https://ec.europa.eu/growth/single-market/european-standards/harmonised-standards/toys_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c.europa.eu/growth/single-market/european-standards/harmonised-standards/toys_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toys_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single-market/european-standards/harmonised-standards/toys_e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c.europa.eu/growth/single-market/european-standards/harmonised-standards/toys_en" TargetMode="External"/><Relationship Id="rId23" Type="http://schemas.openxmlformats.org/officeDocument/2006/relationships/theme" Target="theme/theme1.xml"/><Relationship Id="rId10" Type="http://schemas.openxmlformats.org/officeDocument/2006/relationships/hyperlink" Target="https://ec.europa.eu/growth/single-market/european-standards/harmonised-standards/toys_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growth/single-market/european-standards/harmonised-standards/toys_en" TargetMode="External"/><Relationship Id="rId14" Type="http://schemas.openxmlformats.org/officeDocument/2006/relationships/hyperlink" Target="https://ec.europa.eu/growth/single-market/european-standards/harmonised-standards/toy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9422-E105-4956-9126-668CDE01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1210</Words>
  <Characters>6900</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marcela.mazarenco</cp:lastModifiedBy>
  <cp:revision>2</cp:revision>
  <cp:lastPrinted>2018-12-17T13:34:00Z</cp:lastPrinted>
  <dcterms:created xsi:type="dcterms:W3CDTF">2018-12-27T11:35:00Z</dcterms:created>
  <dcterms:modified xsi:type="dcterms:W3CDTF">2018-12-27T11:35:00Z</dcterms:modified>
</cp:coreProperties>
</file>