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B7" w:rsidRPr="009305B7" w:rsidRDefault="009305B7" w:rsidP="009305B7">
      <w:pPr>
        <w:pStyle w:val="BodyTextIndent"/>
        <w:tabs>
          <w:tab w:val="left" w:pos="10206"/>
        </w:tabs>
        <w:spacing w:after="0"/>
        <w:ind w:left="0"/>
        <w:jc w:val="both"/>
        <w:rPr>
          <w:b/>
          <w:szCs w:val="24"/>
        </w:rPr>
      </w:pPr>
      <w:bookmarkStart w:id="0" w:name="_GoBack"/>
      <w:r w:rsidRPr="009305B7">
        <w:rPr>
          <w:b/>
          <w:szCs w:val="24"/>
          <w:lang w:val="ru-RU"/>
        </w:rPr>
        <w:t>ПОСТАНОВЛЕНИЕ</w:t>
      </w:r>
    </w:p>
    <w:p w:rsidR="009305B7" w:rsidRPr="009305B7" w:rsidRDefault="009305B7" w:rsidP="009305B7">
      <w:pPr>
        <w:pStyle w:val="BodyTextIndent"/>
        <w:tabs>
          <w:tab w:val="left" w:pos="10206"/>
        </w:tabs>
        <w:spacing w:after="0"/>
        <w:ind w:left="0"/>
        <w:jc w:val="both"/>
        <w:rPr>
          <w:b/>
          <w:szCs w:val="24"/>
        </w:rPr>
      </w:pPr>
    </w:p>
    <w:p w:rsidR="009305B7" w:rsidRPr="009305B7" w:rsidRDefault="009305B7" w:rsidP="009305B7">
      <w:pPr>
        <w:jc w:val="both"/>
        <w:rPr>
          <w:bCs/>
          <w:i/>
          <w:szCs w:val="24"/>
          <w:lang w:val="ru-RU"/>
        </w:rPr>
      </w:pPr>
      <w:r w:rsidRPr="009305B7">
        <w:rPr>
          <w:bCs/>
          <w:i/>
          <w:szCs w:val="24"/>
          <w:lang w:val="ru-RU"/>
        </w:rPr>
        <w:t>об утверждении Положения об актуарном отчете страховщика (перестраховщика)</w:t>
      </w:r>
    </w:p>
    <w:p w:rsidR="009305B7" w:rsidRPr="009305B7" w:rsidRDefault="009305B7" w:rsidP="009305B7">
      <w:pPr>
        <w:jc w:val="both"/>
        <w:rPr>
          <w:bCs/>
          <w:i/>
          <w:szCs w:val="24"/>
          <w:lang w:val="ru-RU"/>
        </w:rPr>
      </w:pPr>
    </w:p>
    <w:p w:rsidR="009305B7" w:rsidRPr="009305B7" w:rsidRDefault="009305B7" w:rsidP="009305B7">
      <w:pPr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На основании положений ст.39 ч.(4) и ст</w:t>
      </w:r>
      <w:r w:rsidRPr="009305B7">
        <w:rPr>
          <w:szCs w:val="24"/>
          <w:shd w:val="clear" w:color="auto" w:fill="FFFFFF"/>
          <w:lang w:val="ru-RU"/>
        </w:rPr>
        <w:t>.41 ч.(2</w:t>
      </w:r>
      <w:r w:rsidRPr="009305B7">
        <w:rPr>
          <w:szCs w:val="24"/>
          <w:shd w:val="clear" w:color="auto" w:fill="FFFFFF"/>
          <w:vertAlign w:val="superscript"/>
          <w:lang w:val="ru-RU"/>
        </w:rPr>
        <w:t>1</w:t>
      </w:r>
      <w:r w:rsidRPr="009305B7">
        <w:rPr>
          <w:szCs w:val="24"/>
          <w:shd w:val="clear" w:color="auto" w:fill="FFFFFF"/>
          <w:lang w:val="ru-RU"/>
        </w:rPr>
        <w:t xml:space="preserve">) </w:t>
      </w:r>
      <w:proofErr w:type="spellStart"/>
      <w:r w:rsidRPr="009305B7">
        <w:rPr>
          <w:szCs w:val="24"/>
          <w:shd w:val="clear" w:color="auto" w:fill="FFFFFF"/>
          <w:lang w:val="ru-RU"/>
        </w:rPr>
        <w:t>п.k</w:t>
      </w:r>
      <w:proofErr w:type="spellEnd"/>
      <w:r w:rsidRPr="009305B7">
        <w:rPr>
          <w:szCs w:val="24"/>
          <w:shd w:val="clear" w:color="auto" w:fill="FFFFFF"/>
          <w:lang w:val="ru-RU"/>
        </w:rPr>
        <w:t>)</w:t>
      </w:r>
      <w:r w:rsidRPr="009305B7">
        <w:rPr>
          <w:szCs w:val="24"/>
          <w:lang w:val="ru-RU"/>
        </w:rPr>
        <w:t xml:space="preserve"> Закона о страховании № 407/2006 (Официальный монитор Республики Молдова, 2007, № 47-49, ст.213), </w:t>
      </w:r>
    </w:p>
    <w:p w:rsidR="009305B7" w:rsidRPr="009305B7" w:rsidRDefault="009305B7" w:rsidP="009305B7">
      <w:pPr>
        <w:jc w:val="both"/>
        <w:rPr>
          <w:szCs w:val="24"/>
          <w:lang w:val="ru-RU"/>
        </w:rPr>
      </w:pPr>
    </w:p>
    <w:p w:rsidR="009305B7" w:rsidRPr="009305B7" w:rsidRDefault="009305B7" w:rsidP="009305B7">
      <w:pPr>
        <w:tabs>
          <w:tab w:val="left" w:pos="360"/>
        </w:tabs>
        <w:jc w:val="both"/>
        <w:rPr>
          <w:b/>
          <w:bCs/>
          <w:szCs w:val="24"/>
          <w:lang w:val="ru-RU"/>
        </w:rPr>
      </w:pPr>
      <w:r w:rsidRPr="009305B7">
        <w:rPr>
          <w:b/>
          <w:szCs w:val="24"/>
          <w:lang w:val="ru-RU"/>
        </w:rPr>
        <w:t xml:space="preserve">НАЦИОНАЛЬНАЯ КОМИССИЯ ПО ФИНАНСОВОМУ РЫНКУ </w:t>
      </w:r>
      <w:r w:rsidRPr="009305B7">
        <w:rPr>
          <w:b/>
          <w:bCs/>
          <w:szCs w:val="24"/>
          <w:lang w:val="ru-RU"/>
        </w:rPr>
        <w:t>ПОСТАНОВЛЯЕТ:</w:t>
      </w:r>
    </w:p>
    <w:p w:rsidR="009305B7" w:rsidRPr="009305B7" w:rsidRDefault="009305B7" w:rsidP="009305B7">
      <w:pPr>
        <w:tabs>
          <w:tab w:val="left" w:pos="360"/>
        </w:tabs>
        <w:jc w:val="both"/>
        <w:rPr>
          <w:b/>
          <w:bCs/>
          <w:szCs w:val="24"/>
          <w:lang w:val="ru-RU"/>
        </w:rPr>
      </w:pPr>
    </w:p>
    <w:p w:rsidR="009305B7" w:rsidRPr="009305B7" w:rsidRDefault="009305B7" w:rsidP="009305B7">
      <w:pPr>
        <w:pStyle w:val="ListParagraph"/>
        <w:widowControl w:val="0"/>
        <w:numPr>
          <w:ilvl w:val="0"/>
          <w:numId w:val="9"/>
        </w:numPr>
        <w:tabs>
          <w:tab w:val="left" w:pos="426"/>
          <w:tab w:val="left" w:pos="851"/>
        </w:tabs>
        <w:adjustRightInd w:val="0"/>
        <w:ind w:left="0" w:firstLine="0"/>
        <w:jc w:val="both"/>
        <w:rPr>
          <w:b/>
          <w:bCs/>
          <w:szCs w:val="24"/>
          <w:lang w:val="ru-RU"/>
        </w:rPr>
      </w:pPr>
      <w:r w:rsidRPr="009305B7">
        <w:rPr>
          <w:bCs/>
          <w:szCs w:val="24"/>
          <w:lang w:val="ru-RU"/>
        </w:rPr>
        <w:t xml:space="preserve">Утвердить Положение об актуарном отчете страховщика (перестраховщика), согласно приложению. </w:t>
      </w:r>
    </w:p>
    <w:p w:rsidR="009305B7" w:rsidRPr="009305B7" w:rsidRDefault="009305B7" w:rsidP="009305B7">
      <w:pPr>
        <w:pStyle w:val="ListParagraph"/>
        <w:widowControl w:val="0"/>
        <w:numPr>
          <w:ilvl w:val="0"/>
          <w:numId w:val="9"/>
        </w:numPr>
        <w:tabs>
          <w:tab w:val="left" w:pos="426"/>
          <w:tab w:val="left" w:pos="851"/>
        </w:tabs>
        <w:adjustRightInd w:val="0"/>
        <w:ind w:left="0" w:firstLine="0"/>
        <w:jc w:val="both"/>
        <w:rPr>
          <w:b/>
          <w:bCs/>
          <w:szCs w:val="24"/>
          <w:lang w:val="ru-RU"/>
        </w:rPr>
      </w:pPr>
      <w:r w:rsidRPr="009305B7">
        <w:rPr>
          <w:bCs/>
          <w:szCs w:val="24"/>
          <w:lang w:val="ru-RU"/>
        </w:rPr>
        <w:t>Настоящее постановление вступает в силу 1 января 2019 года.</w:t>
      </w:r>
    </w:p>
    <w:p w:rsidR="009305B7" w:rsidRPr="009305B7" w:rsidRDefault="009305B7" w:rsidP="009305B7">
      <w:pPr>
        <w:widowControl w:val="0"/>
        <w:tabs>
          <w:tab w:val="left" w:pos="567"/>
          <w:tab w:val="left" w:pos="851"/>
        </w:tabs>
        <w:adjustRightInd w:val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tabs>
          <w:tab w:val="left" w:pos="709"/>
        </w:tabs>
        <w:jc w:val="both"/>
        <w:rPr>
          <w:b/>
          <w:szCs w:val="24"/>
        </w:rPr>
      </w:pPr>
      <w:r w:rsidRPr="009305B7">
        <w:rPr>
          <w:b/>
          <w:szCs w:val="24"/>
        </w:rPr>
        <w:t xml:space="preserve">ПРЕДСЕДАТЕЛЬ НАЦИОНАЛЬНОЙ </w:t>
      </w:r>
    </w:p>
    <w:p w:rsidR="009305B7" w:rsidRPr="009305B7" w:rsidRDefault="009305B7" w:rsidP="009305B7">
      <w:pPr>
        <w:tabs>
          <w:tab w:val="left" w:pos="709"/>
        </w:tabs>
        <w:jc w:val="both"/>
        <w:rPr>
          <w:b/>
          <w:szCs w:val="24"/>
        </w:rPr>
      </w:pPr>
      <w:r w:rsidRPr="009305B7">
        <w:rPr>
          <w:b/>
          <w:szCs w:val="24"/>
        </w:rPr>
        <w:t xml:space="preserve">КОМИССИИ ПО ФИНАНСОВОМУ РЫНКУ                                 </w:t>
      </w:r>
      <w:r w:rsidRPr="009305B7">
        <w:rPr>
          <w:szCs w:val="24"/>
        </w:rPr>
        <w:t xml:space="preserve"> </w:t>
      </w:r>
      <w:r w:rsidRPr="009305B7">
        <w:rPr>
          <w:b/>
          <w:szCs w:val="24"/>
        </w:rPr>
        <w:t>Валериу КИЦАН</w:t>
      </w:r>
    </w:p>
    <w:p w:rsidR="009305B7" w:rsidRPr="009305B7" w:rsidRDefault="009305B7" w:rsidP="009305B7">
      <w:pPr>
        <w:tabs>
          <w:tab w:val="left" w:pos="709"/>
        </w:tabs>
        <w:jc w:val="both"/>
        <w:rPr>
          <w:b/>
          <w:szCs w:val="24"/>
        </w:rPr>
      </w:pPr>
    </w:p>
    <w:p w:rsidR="009305B7" w:rsidRPr="009305B7" w:rsidRDefault="009305B7" w:rsidP="009305B7">
      <w:pPr>
        <w:tabs>
          <w:tab w:val="left" w:pos="567"/>
        </w:tabs>
        <w:jc w:val="both"/>
        <w:rPr>
          <w:b/>
          <w:szCs w:val="24"/>
          <w:lang w:val="ru-RU"/>
        </w:rPr>
      </w:pPr>
      <w:r w:rsidRPr="009305B7">
        <w:rPr>
          <w:b/>
          <w:color w:val="000000"/>
          <w:szCs w:val="24"/>
        </w:rPr>
        <w:t>№</w:t>
      </w:r>
      <w:r w:rsidRPr="009305B7">
        <w:rPr>
          <w:b/>
          <w:color w:val="000000"/>
          <w:szCs w:val="24"/>
          <w:lang w:val="ru-RU"/>
        </w:rPr>
        <w:t xml:space="preserve"> 55/1. </w:t>
      </w:r>
      <w:proofErr w:type="spellStart"/>
      <w:r w:rsidRPr="009305B7">
        <w:rPr>
          <w:b/>
          <w:color w:val="000000"/>
          <w:szCs w:val="24"/>
          <w:lang w:val="ru-RU"/>
        </w:rPr>
        <w:t>Кишинэу</w:t>
      </w:r>
      <w:proofErr w:type="spellEnd"/>
      <w:r w:rsidRPr="009305B7">
        <w:rPr>
          <w:b/>
          <w:color w:val="000000"/>
          <w:szCs w:val="24"/>
          <w:lang w:val="ru-RU"/>
        </w:rPr>
        <w:t xml:space="preserve">, </w:t>
      </w:r>
      <w:r w:rsidRPr="009305B7">
        <w:rPr>
          <w:b/>
          <w:color w:val="000000"/>
          <w:szCs w:val="24"/>
        </w:rPr>
        <w:t xml:space="preserve">17 </w:t>
      </w:r>
      <w:r w:rsidRPr="009305B7">
        <w:rPr>
          <w:b/>
          <w:color w:val="000000"/>
          <w:szCs w:val="24"/>
          <w:lang w:val="ru-RU"/>
        </w:rPr>
        <w:t>дека</w:t>
      </w:r>
      <w:r w:rsidRPr="009305B7">
        <w:rPr>
          <w:b/>
          <w:color w:val="000000"/>
          <w:szCs w:val="24"/>
        </w:rPr>
        <w:t xml:space="preserve">бря 2018. </w:t>
      </w:r>
    </w:p>
    <w:p w:rsidR="009305B7" w:rsidRPr="009305B7" w:rsidRDefault="009305B7" w:rsidP="00930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  <w:lang w:val="ro-MO"/>
        </w:rPr>
      </w:pPr>
    </w:p>
    <w:p w:rsidR="009305B7" w:rsidRPr="009305B7" w:rsidRDefault="009305B7" w:rsidP="009305B7">
      <w:pPr>
        <w:pStyle w:val="PlainText"/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5B7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Приложение </w:t>
      </w:r>
    </w:p>
    <w:p w:rsidR="009305B7" w:rsidRPr="009305B7" w:rsidRDefault="009305B7" w:rsidP="009305B7">
      <w:pPr>
        <w:pStyle w:val="PlainText"/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5B7">
        <w:rPr>
          <w:rFonts w:ascii="Times New Roman" w:hAnsi="Times New Roman"/>
          <w:b/>
          <w:bCs/>
          <w:sz w:val="24"/>
          <w:szCs w:val="24"/>
          <w:lang w:val="ru-RU"/>
        </w:rPr>
        <w:t xml:space="preserve">к Постановлению НКФР </w:t>
      </w:r>
    </w:p>
    <w:p w:rsidR="009305B7" w:rsidRPr="009305B7" w:rsidRDefault="009305B7" w:rsidP="009305B7">
      <w:pPr>
        <w:pStyle w:val="PlainText"/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305B7">
        <w:rPr>
          <w:rFonts w:ascii="Times New Roman" w:hAnsi="Times New Roman"/>
          <w:b/>
          <w:bCs/>
          <w:sz w:val="24"/>
          <w:szCs w:val="24"/>
          <w:lang w:val="ru-RU"/>
        </w:rPr>
        <w:t>№ 55/1 от 17.12.2018 г.</w:t>
      </w:r>
    </w:p>
    <w:p w:rsidR="009305B7" w:rsidRPr="009305B7" w:rsidRDefault="009305B7" w:rsidP="009305B7">
      <w:pPr>
        <w:pStyle w:val="PlainText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305B7" w:rsidRPr="009305B7" w:rsidRDefault="009305B7" w:rsidP="009305B7">
      <w:pPr>
        <w:pStyle w:val="BodyText3"/>
        <w:tabs>
          <w:tab w:val="left" w:pos="0"/>
          <w:tab w:val="left" w:pos="284"/>
          <w:tab w:val="num" w:pos="1173"/>
        </w:tabs>
        <w:spacing w:after="0"/>
        <w:jc w:val="both"/>
        <w:rPr>
          <w:b/>
          <w:bCs/>
          <w:sz w:val="24"/>
          <w:szCs w:val="24"/>
          <w:lang w:val="ru-RU"/>
        </w:rPr>
      </w:pPr>
      <w:r w:rsidRPr="009305B7">
        <w:rPr>
          <w:b/>
          <w:bCs/>
          <w:sz w:val="24"/>
          <w:szCs w:val="24"/>
          <w:lang w:val="ru-RU"/>
        </w:rPr>
        <w:t>ПОЛОЖЕНИЕ</w:t>
      </w:r>
    </w:p>
    <w:p w:rsidR="009305B7" w:rsidRPr="009305B7" w:rsidRDefault="009305B7" w:rsidP="009305B7">
      <w:pPr>
        <w:pStyle w:val="BodyText3"/>
        <w:tabs>
          <w:tab w:val="left" w:pos="0"/>
          <w:tab w:val="left" w:pos="284"/>
          <w:tab w:val="num" w:pos="1173"/>
        </w:tabs>
        <w:spacing w:after="0"/>
        <w:jc w:val="both"/>
        <w:rPr>
          <w:b/>
          <w:bCs/>
          <w:sz w:val="24"/>
          <w:szCs w:val="24"/>
          <w:lang w:val="ru-RU"/>
        </w:rPr>
      </w:pPr>
      <w:r w:rsidRPr="009305B7">
        <w:rPr>
          <w:b/>
          <w:bCs/>
          <w:sz w:val="24"/>
          <w:szCs w:val="24"/>
          <w:lang w:val="ru-RU"/>
        </w:rPr>
        <w:t xml:space="preserve">ОБ АКТУАРНОМ ОТЧЕТЕ СТРАХОВЩИКА (ПЕРЕСТРАХОВЩИКА) </w:t>
      </w:r>
    </w:p>
    <w:p w:rsidR="009305B7" w:rsidRPr="009305B7" w:rsidRDefault="009305B7" w:rsidP="009305B7">
      <w:pPr>
        <w:pStyle w:val="BodyText3"/>
        <w:tabs>
          <w:tab w:val="left" w:pos="0"/>
          <w:tab w:val="left" w:pos="284"/>
          <w:tab w:val="num" w:pos="1173"/>
        </w:tabs>
        <w:spacing w:after="0"/>
        <w:jc w:val="both"/>
        <w:rPr>
          <w:b/>
          <w:sz w:val="24"/>
          <w:szCs w:val="24"/>
          <w:lang w:val="ru-RU"/>
        </w:rPr>
      </w:pPr>
    </w:p>
    <w:p w:rsidR="009305B7" w:rsidRPr="009305B7" w:rsidRDefault="009305B7" w:rsidP="009305B7">
      <w:pPr>
        <w:pStyle w:val="BodyText3"/>
        <w:tabs>
          <w:tab w:val="left" w:pos="0"/>
          <w:tab w:val="left" w:pos="284"/>
          <w:tab w:val="num" w:pos="1173"/>
        </w:tabs>
        <w:spacing w:after="0"/>
        <w:jc w:val="both"/>
        <w:rPr>
          <w:b/>
          <w:sz w:val="24"/>
          <w:szCs w:val="24"/>
          <w:lang w:val="ru-RU"/>
        </w:rPr>
      </w:pPr>
      <w:r w:rsidRPr="009305B7">
        <w:rPr>
          <w:b/>
          <w:sz w:val="24"/>
          <w:szCs w:val="24"/>
          <w:lang w:val="ru-RU"/>
        </w:rPr>
        <w:t>Глава I</w:t>
      </w:r>
    </w:p>
    <w:p w:rsidR="009305B7" w:rsidRPr="009305B7" w:rsidRDefault="009305B7" w:rsidP="009305B7">
      <w:pPr>
        <w:pStyle w:val="BodyText3"/>
        <w:tabs>
          <w:tab w:val="left" w:pos="0"/>
          <w:tab w:val="left" w:pos="284"/>
          <w:tab w:val="num" w:pos="1173"/>
        </w:tabs>
        <w:spacing w:after="0"/>
        <w:jc w:val="both"/>
        <w:rPr>
          <w:b/>
          <w:sz w:val="24"/>
          <w:szCs w:val="24"/>
          <w:lang w:val="ru-RU"/>
        </w:rPr>
      </w:pPr>
      <w:r w:rsidRPr="009305B7">
        <w:rPr>
          <w:b/>
          <w:sz w:val="24"/>
          <w:szCs w:val="24"/>
          <w:lang w:val="ru-RU"/>
        </w:rPr>
        <w:t>ОБЩИЕ ПОЛОЖЕНИЯ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szCs w:val="24"/>
          <w:lang w:val="ru-RU"/>
        </w:rPr>
      </w:pPr>
      <w:r w:rsidRPr="009305B7">
        <w:rPr>
          <w:bCs/>
          <w:szCs w:val="24"/>
          <w:lang w:val="ru-RU"/>
        </w:rPr>
        <w:t xml:space="preserve">Настоящее Положение устанавливает структуру, содержание, раскрываемую информацию, порядок заполнения и представления годового актуарного отчета страховщика (перестраховщика) (далее – </w:t>
      </w:r>
      <w:r w:rsidRPr="009305B7">
        <w:rPr>
          <w:bCs/>
          <w:i/>
          <w:szCs w:val="24"/>
          <w:lang w:val="ru-RU"/>
        </w:rPr>
        <w:t>Актуарный отчет</w:t>
      </w:r>
      <w:r w:rsidRPr="009305B7">
        <w:rPr>
          <w:bCs/>
          <w:szCs w:val="24"/>
          <w:lang w:val="ru-RU"/>
        </w:rPr>
        <w:t>) целью которого является регламентирование выражения мнения актуария о положении технических резервов, платежеспособности, состоянии активов и соответствии страховых премий (далее – оценки) путем раскрытия в актуарном отчете страховщика (перестраховщика) информации, предусмотренной настоящим Положением.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bCs/>
          <w:szCs w:val="24"/>
          <w:lang w:val="ru-RU"/>
        </w:rPr>
      </w:pPr>
      <w:r w:rsidRPr="009305B7">
        <w:rPr>
          <w:bCs/>
          <w:szCs w:val="24"/>
          <w:lang w:val="ru-RU"/>
        </w:rPr>
        <w:t>Актуарий страховщика (перестраховщика) обязан ежегодно представлять органу надзора Актуарный отчет, разработанный в соответствии с нормами, установленными настоящим Положением.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b/>
          <w:bCs/>
          <w:szCs w:val="24"/>
          <w:lang w:val="ru-RU"/>
        </w:rPr>
      </w:pPr>
      <w:r w:rsidRPr="009305B7">
        <w:rPr>
          <w:szCs w:val="24"/>
          <w:lang w:val="ru-RU"/>
        </w:rPr>
        <w:t xml:space="preserve">Понятия, термины и выражения, использованные в настоящем Положении, имеют значения, предусмотренные Законом о страховании № 407/2006 и нормативными актами, выпущенными органом надзора. 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0"/>
          <w:tab w:val="left" w:pos="284"/>
        </w:tabs>
        <w:ind w:left="0"/>
        <w:jc w:val="both"/>
        <w:rPr>
          <w:b/>
          <w:bCs/>
          <w:szCs w:val="24"/>
          <w:lang w:val="ru-RU"/>
        </w:rPr>
      </w:pP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b/>
          <w:bCs/>
          <w:szCs w:val="24"/>
          <w:lang w:val="ru-RU"/>
        </w:rPr>
      </w:pPr>
      <w:r w:rsidRPr="009305B7">
        <w:rPr>
          <w:b/>
          <w:bCs/>
          <w:szCs w:val="24"/>
          <w:lang w:val="ru-RU"/>
        </w:rPr>
        <w:t>Глава II</w:t>
      </w: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b/>
          <w:szCs w:val="24"/>
          <w:lang w:val="ru-RU"/>
        </w:rPr>
      </w:pPr>
      <w:r w:rsidRPr="009305B7">
        <w:rPr>
          <w:b/>
          <w:bCs/>
          <w:szCs w:val="24"/>
          <w:lang w:val="ru-RU"/>
        </w:rPr>
        <w:t xml:space="preserve">ТРЕБОВАНИЯ К СОДЕРЖАНИЮ АКТУАРНОГО ОТЧЕТА 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 w:eastAsia="en-US"/>
        </w:rPr>
        <w:t>Актуарный отчет разрабатывается актуарием страховщика (перестраховщика)</w:t>
      </w:r>
      <w:r w:rsidRPr="009305B7">
        <w:rPr>
          <w:bCs/>
          <w:szCs w:val="24"/>
          <w:lang w:val="ru-RU"/>
        </w:rPr>
        <w:t xml:space="preserve"> (далее – </w:t>
      </w:r>
      <w:r w:rsidRPr="009305B7">
        <w:rPr>
          <w:bCs/>
          <w:i/>
          <w:szCs w:val="24"/>
          <w:lang w:val="ru-RU"/>
        </w:rPr>
        <w:t>ответственный актуарий</w:t>
      </w:r>
      <w:r w:rsidRPr="009305B7">
        <w:rPr>
          <w:bCs/>
          <w:szCs w:val="24"/>
          <w:lang w:val="ru-RU"/>
        </w:rPr>
        <w:t>) и содержит информацию, предусмотренную в настоящей главе, которая структурируется согласно приложению к настоящему Положению.</w:t>
      </w:r>
      <w:r w:rsidRPr="009305B7">
        <w:rPr>
          <w:szCs w:val="24"/>
          <w:lang w:val="ru-RU"/>
        </w:rPr>
        <w:t xml:space="preserve">    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Актуарный отчет разрабатывается отдельно по каждому виду страхования („страхование жизни” или „общее страхование”), в зависимости от практикуемой страховщиком категории страхования, и содержит ясную картину деятельности, осуществленной актуарием в основных областях ответственности.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Актуарный отчет содержит, как минимум, следующие элементы: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proofErr w:type="gramStart"/>
      <w:r w:rsidRPr="009305B7">
        <w:rPr>
          <w:b/>
          <w:szCs w:val="24"/>
          <w:lang w:val="ru-RU"/>
        </w:rPr>
        <w:t>Введение</w:t>
      </w:r>
      <w:r w:rsidRPr="009305B7">
        <w:rPr>
          <w:szCs w:val="24"/>
          <w:lang w:val="ru-RU"/>
        </w:rPr>
        <w:t xml:space="preserve"> – общая информация о страховщике и ответственном актуарии, цель Актуарного отчета, описание использованных понятий и список нормативных актов, в том числе внутренних, страховщика и профессиональной ассоциации, членом которой является ответственный актуарий, которые послужили основанием для </w:t>
      </w:r>
      <w:r w:rsidRPr="009305B7">
        <w:rPr>
          <w:szCs w:val="24"/>
          <w:lang w:val="ru-RU"/>
        </w:rPr>
        <w:lastRenderedPageBreak/>
        <w:t>осуществленных оценок, отчетный период/период управления, на который выдается отчет.</w:t>
      </w:r>
      <w:proofErr w:type="gramEnd"/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Информация о страховщике и ответственном актуарии содержит информацию, изложенную в следующем формате: </w:t>
      </w: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29"/>
        <w:gridCol w:w="7679"/>
        <w:gridCol w:w="1252"/>
      </w:tblGrid>
      <w:tr w:rsidR="009305B7" w:rsidRPr="009305B7" w:rsidTr="00640747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1.1.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Дата разработки;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1.2.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Информация об актуарии страховщика, который разработал Актуарный отчет: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  1.2.1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Фамилия, имя;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  1.2.2.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Серия, номер и дата выдачи сертификата актуария;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  1.2.3.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Наименование профессиональной ассоциации в области </w:t>
            </w:r>
            <w:proofErr w:type="spellStart"/>
            <w:r w:rsidRPr="009305B7">
              <w:rPr>
                <w:szCs w:val="24"/>
                <w:lang w:val="ru-RU"/>
              </w:rPr>
              <w:t>актуариата</w:t>
            </w:r>
            <w:proofErr w:type="spellEnd"/>
            <w:r w:rsidRPr="009305B7">
              <w:rPr>
                <w:szCs w:val="24"/>
                <w:lang w:val="ru-RU"/>
              </w:rPr>
              <w:t xml:space="preserve">, членом которой является актуарий  (если он является членом определенной ассоциации из области </w:t>
            </w:r>
            <w:proofErr w:type="spellStart"/>
            <w:r w:rsidRPr="009305B7">
              <w:rPr>
                <w:szCs w:val="24"/>
                <w:lang w:val="ru-RU"/>
              </w:rPr>
              <w:t>актуариата</w:t>
            </w:r>
            <w:proofErr w:type="spellEnd"/>
            <w:r w:rsidRPr="009305B7">
              <w:rPr>
                <w:szCs w:val="24"/>
                <w:lang w:val="ru-RU"/>
              </w:rPr>
              <w:t>);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1.3.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Информация о страховщике: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  1.3.1.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Полное наименование страховщика;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  1.3.2.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Категория страхования, серия, номер и дата выдачи лицензии;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  1.3.3.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Код IDNO;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  1.3.4.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Юридический адрес.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/>
              </w:rPr>
            </w:pPr>
          </w:p>
        </w:tc>
      </w:tr>
    </w:tbl>
    <w:p w:rsidR="009305B7" w:rsidRPr="009305B7" w:rsidRDefault="009305B7" w:rsidP="009305B7">
      <w:pPr>
        <w:tabs>
          <w:tab w:val="left" w:pos="284"/>
        </w:tabs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b/>
          <w:szCs w:val="24"/>
          <w:lang w:val="ru-RU"/>
        </w:rPr>
        <w:t>Использованные данные</w:t>
      </w:r>
      <w:r w:rsidRPr="009305B7">
        <w:rPr>
          <w:szCs w:val="24"/>
          <w:lang w:val="ru-RU"/>
        </w:rPr>
        <w:t xml:space="preserve"> – информация об использованных данных/показателях, о качестве и методах/процедурах контроля данных (примирение данных с данными бухгалтерского учета), о констатированных корректировках, недостатках, отклонениях, а также об их источнике, использованная для осуществления актуарных оценок, продукты/виды страхования страховщика. </w:t>
      </w: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Источник данных должен быть точным и давать прямое описание справки об использованных данных (полное наименование нормативного акта, точное название учебных пособий, научных работ, с указанием автора, страницы и ссылки к веб-странице, в зависимости от обстоятельств). </w:t>
      </w: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Осуществленные примирения и корректировки раскрываются по каждому виду/классу страхования. </w:t>
      </w: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Актуарный отчет по страхованию жизни содержит использованные таблицы смертности, болезненности, инвалидности, коммутации, в зависимости от случая.</w:t>
      </w: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Продукты/виды страхования страховщика, содержащиеся в каждом классе страхования, предусмотренном в приложении № 1 к Закону о страховании № 407/2006, представляются в следующем формате:</w:t>
      </w: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Соответствие классов и продуктов/видов страхования 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4214"/>
        <w:gridCol w:w="4223"/>
      </w:tblGrid>
      <w:tr w:rsidR="009305B7" w:rsidRPr="009305B7" w:rsidTr="00640747">
        <w:tc>
          <w:tcPr>
            <w:tcW w:w="4839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Кла</w:t>
            </w:r>
            <w:proofErr w:type="gramStart"/>
            <w:r w:rsidRPr="009305B7">
              <w:rPr>
                <w:szCs w:val="24"/>
                <w:lang w:val="ru-RU"/>
              </w:rPr>
              <w:t>сс стр</w:t>
            </w:r>
            <w:proofErr w:type="gramEnd"/>
            <w:r w:rsidRPr="009305B7">
              <w:rPr>
                <w:szCs w:val="24"/>
                <w:lang w:val="ru-RU"/>
              </w:rPr>
              <w:t>ахования</w:t>
            </w:r>
          </w:p>
        </w:tc>
        <w:tc>
          <w:tcPr>
            <w:tcW w:w="4840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Продукт/вид страхования</w:t>
            </w:r>
          </w:p>
        </w:tc>
      </w:tr>
      <w:tr w:rsidR="009305B7" w:rsidRPr="009305B7" w:rsidTr="00640747">
        <w:tc>
          <w:tcPr>
            <w:tcW w:w="4839" w:type="dxa"/>
            <w:shd w:val="clear" w:color="auto" w:fill="DAEEF3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4840" w:type="dxa"/>
            <w:shd w:val="clear" w:color="auto" w:fill="DAEEF3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4839" w:type="dxa"/>
            <w:shd w:val="clear" w:color="auto" w:fill="DAEEF3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4840" w:type="dxa"/>
            <w:shd w:val="clear" w:color="auto" w:fill="DAEEF3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</w:tbl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b/>
          <w:szCs w:val="24"/>
          <w:lang w:val="ru-RU"/>
        </w:rPr>
        <w:t>Технические резервы</w:t>
      </w:r>
      <w:r w:rsidRPr="009305B7">
        <w:rPr>
          <w:szCs w:val="24"/>
          <w:lang w:val="ru-RU"/>
        </w:rPr>
        <w:t xml:space="preserve">. </w:t>
      </w:r>
    </w:p>
    <w:p w:rsidR="009305B7" w:rsidRPr="009305B7" w:rsidRDefault="009305B7" w:rsidP="009305B7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i/>
          <w:szCs w:val="24"/>
          <w:lang w:val="ru-RU"/>
        </w:rPr>
        <w:t>Методы расчета технических резервов (</w:t>
      </w:r>
      <w:proofErr w:type="spellStart"/>
      <w:r w:rsidRPr="009305B7">
        <w:rPr>
          <w:i/>
          <w:szCs w:val="24"/>
          <w:lang w:val="ru-RU"/>
        </w:rPr>
        <w:t>Chain-Ladder</w:t>
      </w:r>
      <w:proofErr w:type="spellEnd"/>
      <w:r w:rsidRPr="009305B7">
        <w:rPr>
          <w:i/>
          <w:szCs w:val="24"/>
          <w:lang w:val="ru-RU"/>
        </w:rPr>
        <w:t xml:space="preserve">, </w:t>
      </w:r>
      <w:proofErr w:type="spellStart"/>
      <w:r w:rsidRPr="009305B7">
        <w:rPr>
          <w:i/>
          <w:szCs w:val="24"/>
          <w:lang w:val="ru-RU"/>
        </w:rPr>
        <w:t>Bornhuetter</w:t>
      </w:r>
      <w:proofErr w:type="spellEnd"/>
      <w:r w:rsidRPr="009305B7">
        <w:rPr>
          <w:i/>
          <w:szCs w:val="24"/>
          <w:lang w:val="ru-RU"/>
        </w:rPr>
        <w:t xml:space="preserve"> </w:t>
      </w:r>
      <w:proofErr w:type="spellStart"/>
      <w:r w:rsidRPr="009305B7">
        <w:rPr>
          <w:i/>
          <w:szCs w:val="24"/>
          <w:lang w:val="ru-RU"/>
        </w:rPr>
        <w:t>Ferguson</w:t>
      </w:r>
      <w:proofErr w:type="spellEnd"/>
      <w:r w:rsidRPr="009305B7">
        <w:rPr>
          <w:i/>
          <w:szCs w:val="24"/>
          <w:lang w:val="ru-RU"/>
        </w:rPr>
        <w:t xml:space="preserve">, </w:t>
      </w:r>
      <w:proofErr w:type="spellStart"/>
      <w:r w:rsidRPr="009305B7">
        <w:rPr>
          <w:i/>
          <w:szCs w:val="24"/>
          <w:lang w:val="ru-RU"/>
        </w:rPr>
        <w:t>Проспективный</w:t>
      </w:r>
      <w:proofErr w:type="spellEnd"/>
      <w:r w:rsidRPr="009305B7">
        <w:rPr>
          <w:i/>
          <w:szCs w:val="24"/>
          <w:lang w:val="ru-RU"/>
        </w:rPr>
        <w:t xml:space="preserve"> метод (брутто), </w:t>
      </w:r>
      <w:proofErr w:type="spellStart"/>
      <w:r w:rsidRPr="009305B7">
        <w:rPr>
          <w:i/>
          <w:szCs w:val="24"/>
          <w:lang w:val="ru-RU"/>
        </w:rPr>
        <w:t>Проспективный</w:t>
      </w:r>
      <w:proofErr w:type="spellEnd"/>
      <w:r w:rsidRPr="009305B7">
        <w:rPr>
          <w:i/>
          <w:szCs w:val="24"/>
          <w:lang w:val="ru-RU"/>
        </w:rPr>
        <w:t xml:space="preserve"> метод (нетто),  и др.</w:t>
      </w:r>
      <w:r w:rsidRPr="009305B7">
        <w:rPr>
          <w:szCs w:val="24"/>
          <w:lang w:val="ru-RU"/>
        </w:rPr>
        <w:t>), представленные отдельно по каждому продукту/виду страхования/классу страхования, по каждому виду технического резерва, в соответствие с нижеследующей таблицей: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Методы, использованные для расчета страховых резервов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737"/>
        <w:gridCol w:w="2387"/>
        <w:gridCol w:w="1277"/>
        <w:gridCol w:w="3041"/>
      </w:tblGrid>
      <w:tr w:rsidR="009305B7" w:rsidRPr="009305B7" w:rsidTr="00640747">
        <w:tc>
          <w:tcPr>
            <w:tcW w:w="2126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Технический резерв</w:t>
            </w:r>
          </w:p>
        </w:tc>
        <w:tc>
          <w:tcPr>
            <w:tcW w:w="2988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Продукт/вид страхования/кла</w:t>
            </w:r>
            <w:proofErr w:type="gramStart"/>
            <w:r w:rsidRPr="009305B7">
              <w:rPr>
                <w:szCs w:val="24"/>
                <w:lang w:val="ru-RU"/>
              </w:rPr>
              <w:t>сс стр</w:t>
            </w:r>
            <w:proofErr w:type="gramEnd"/>
            <w:r w:rsidRPr="009305B7">
              <w:rPr>
                <w:szCs w:val="24"/>
                <w:lang w:val="ru-RU"/>
              </w:rPr>
              <w:t xml:space="preserve">ахования </w:t>
            </w:r>
          </w:p>
        </w:tc>
        <w:tc>
          <w:tcPr>
            <w:tcW w:w="1890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Метод расчета</w:t>
            </w:r>
          </w:p>
        </w:tc>
        <w:tc>
          <w:tcPr>
            <w:tcW w:w="1829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Примечания/комментарии*</w:t>
            </w:r>
          </w:p>
        </w:tc>
      </w:tr>
      <w:tr w:rsidR="009305B7" w:rsidRPr="009305B7" w:rsidTr="00640747">
        <w:tc>
          <w:tcPr>
            <w:tcW w:w="2126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2988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829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2126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2988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829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</w:tbl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Примечание: *представляются комментарии к указанным методам, </w:t>
      </w:r>
      <w:proofErr w:type="gramStart"/>
      <w:r w:rsidRPr="009305B7">
        <w:rPr>
          <w:szCs w:val="24"/>
          <w:lang w:val="ru-RU"/>
        </w:rPr>
        <w:t>которые</w:t>
      </w:r>
      <w:proofErr w:type="gramEnd"/>
      <w:r w:rsidRPr="009305B7">
        <w:rPr>
          <w:szCs w:val="24"/>
          <w:lang w:val="ru-RU"/>
        </w:rPr>
        <w:t xml:space="preserve"> по мнению актуария являются релевантными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Применяемые методы расчета технических резервов описываются с указанием:</w:t>
      </w:r>
    </w:p>
    <w:p w:rsidR="009305B7" w:rsidRPr="009305B7" w:rsidRDefault="009305B7" w:rsidP="009305B7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Методов расчета стоимости до передачи в перестрахование и  стоимости положенной в перестраховании (доля перестраховщика). Если внесены изменения в методологии расчета технических резервов в рамках периода, на который выдается Актуарный отчет, представляются аргументы, на которых обосновано решение о принятии данной меры;</w:t>
      </w:r>
    </w:p>
    <w:p w:rsidR="009305B7" w:rsidRPr="009305B7" w:rsidRDefault="009305B7" w:rsidP="009305B7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Основных факторов, принятых во внимание при расчете технических резервов (норма убыточности, процентные ставки, норма инфляции и др.). Актуарный отчет по страхованию жизни включает гарантированные технические процентные ставки по каждому осуществляемому продукту/виду страхования, примененные фактические процентные ставки и их соответствие инвестиционным политикам страховщика, коэффициенты </w:t>
      </w:r>
      <w:proofErr w:type="spellStart"/>
      <w:r w:rsidRPr="009305B7">
        <w:rPr>
          <w:szCs w:val="24"/>
          <w:lang w:val="ru-RU"/>
        </w:rPr>
        <w:t>Zillmer</w:t>
      </w:r>
      <w:proofErr w:type="spellEnd"/>
      <w:r w:rsidRPr="009305B7">
        <w:rPr>
          <w:szCs w:val="24"/>
          <w:lang w:val="ru-RU"/>
        </w:rPr>
        <w:t>, нормы административных расходов и др.;</w:t>
      </w:r>
    </w:p>
    <w:p w:rsidR="009305B7" w:rsidRPr="009305B7" w:rsidRDefault="009305B7" w:rsidP="009305B7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Примененной маржи риска, в зависимости от обстоятельств;</w:t>
      </w:r>
    </w:p>
    <w:p w:rsidR="009305B7" w:rsidRPr="009305B7" w:rsidRDefault="009305B7" w:rsidP="009305B7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Другой релевантной информации, использованной актуарием при расчете технических резервов, с её описанием по продуктам/видам страхования.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i/>
          <w:szCs w:val="24"/>
          <w:lang w:val="ru-RU"/>
        </w:rPr>
        <w:t>Фактическая стоимость технических резервов</w:t>
      </w:r>
      <w:r w:rsidRPr="009305B7">
        <w:rPr>
          <w:szCs w:val="24"/>
          <w:lang w:val="ru-RU"/>
        </w:rPr>
        <w:t xml:space="preserve"> на отчетный год и в сравнении, как минимум, с одним предыдущим годом, распределенных по продуктам/видам страхования/классам страхования и видам резервов. 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Актуарный отчет по страхованию жизни включает и информацию, относящуюся к числу полисов, для которых были рассчитаны математические резервы, добавочные математические резервы и резервы для дополнительных льгот, страховая сумма и стоимость полагающихся математических резервов. 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Для продуктов/видов страхования жизни, допускающих принятие других рисков из категории общего страхования, информация о технических резервах представляется отдельно от резервов характерных для страхования жизни.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В условиях применения марж риска, некоторых специальных корректировок резерв, данные расчеты представляются отдельно от стоимости технических резервов, полученной в результате примененных методов.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Указанная информация представляется для стоимости технических резервов до передачи в перестрахование, положенной в перестраховании стоимости (доля перестраховщика) и чистой перестраховочной стоимости. Компонента включает краткое описание страховых соглашений, примененных на протяжении отчетного периода, а также видов перестрахования.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Изменения, вытекающие из сравнительного анализа, необходимо </w:t>
      </w:r>
      <w:proofErr w:type="gramStart"/>
      <w:r w:rsidRPr="009305B7">
        <w:rPr>
          <w:szCs w:val="24"/>
          <w:lang w:val="ru-RU"/>
        </w:rPr>
        <w:t>комментировать</w:t>
      </w:r>
      <w:proofErr w:type="gramEnd"/>
      <w:r w:rsidRPr="009305B7">
        <w:rPr>
          <w:szCs w:val="24"/>
          <w:lang w:val="ru-RU"/>
        </w:rPr>
        <w:t xml:space="preserve"> если констатируются существенные изменения, сквозь призму специфических рисков.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i/>
          <w:szCs w:val="24"/>
          <w:lang w:val="ru-RU"/>
        </w:rPr>
        <w:t>Результаты тестов на адекватность</w:t>
      </w:r>
      <w:r w:rsidRPr="009305B7">
        <w:rPr>
          <w:szCs w:val="24"/>
          <w:lang w:val="ru-RU"/>
        </w:rPr>
        <w:t xml:space="preserve"> технических резервов:</w:t>
      </w:r>
    </w:p>
    <w:p w:rsidR="009305B7" w:rsidRPr="009305B7" w:rsidRDefault="009305B7" w:rsidP="009305B7">
      <w:pPr>
        <w:pStyle w:val="ListParagraph"/>
        <w:numPr>
          <w:ilvl w:val="3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Для резервов убытков тест проводится на основе предшествующего опыта (тест </w:t>
      </w:r>
      <w:proofErr w:type="spellStart"/>
      <w:r w:rsidRPr="009305B7">
        <w:rPr>
          <w:szCs w:val="24"/>
          <w:lang w:val="ru-RU"/>
        </w:rPr>
        <w:t>run-off</w:t>
      </w:r>
      <w:proofErr w:type="spellEnd"/>
      <w:r w:rsidRPr="009305B7">
        <w:rPr>
          <w:szCs w:val="24"/>
          <w:lang w:val="ru-RU"/>
        </w:rPr>
        <w:t>), как минимум за один предыдущий отчетный период, и распределяется по каждому продукту страхования/классу страхования, в соответствии с нижеследующим:</w:t>
      </w: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- Отдельно по каждому резерву убытков (Резервы заявленных, но не урегулированных убытков и Резервы непринятых убытков);</w:t>
      </w: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- Обобщенно по всем резервам убытков;</w:t>
      </w:r>
    </w:p>
    <w:p w:rsidR="009305B7" w:rsidRPr="009305B7" w:rsidRDefault="009305B7" w:rsidP="009305B7">
      <w:pPr>
        <w:pStyle w:val="ListParagraph"/>
        <w:numPr>
          <w:ilvl w:val="3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Для резерва незаработанной премии (РНП) и математического резерва тест на адекватность проводится на основе будущего опыта, принимая во внимание текущие оценки будущих казначейских поступлений по договорам страхования, для которых был рассчитан РНП (LAT-</w:t>
      </w:r>
      <w:proofErr w:type="spellStart"/>
      <w:r w:rsidRPr="009305B7">
        <w:rPr>
          <w:szCs w:val="24"/>
          <w:lang w:val="ru-RU"/>
        </w:rPr>
        <w:t>liability</w:t>
      </w:r>
      <w:proofErr w:type="spellEnd"/>
      <w:r w:rsidRPr="009305B7">
        <w:rPr>
          <w:szCs w:val="24"/>
          <w:lang w:val="ru-RU"/>
        </w:rPr>
        <w:t xml:space="preserve"> </w:t>
      </w:r>
      <w:proofErr w:type="spellStart"/>
      <w:r w:rsidRPr="009305B7">
        <w:rPr>
          <w:szCs w:val="24"/>
          <w:lang w:val="ru-RU"/>
        </w:rPr>
        <w:t>adequacy</w:t>
      </w:r>
      <w:proofErr w:type="spellEnd"/>
      <w:r w:rsidRPr="009305B7">
        <w:rPr>
          <w:szCs w:val="24"/>
          <w:lang w:val="ru-RU"/>
        </w:rPr>
        <w:t xml:space="preserve"> </w:t>
      </w:r>
      <w:proofErr w:type="spellStart"/>
      <w:r w:rsidRPr="009305B7">
        <w:rPr>
          <w:szCs w:val="24"/>
          <w:lang w:val="ru-RU"/>
        </w:rPr>
        <w:t>test</w:t>
      </w:r>
      <w:proofErr w:type="spellEnd"/>
      <w:r w:rsidRPr="009305B7">
        <w:rPr>
          <w:szCs w:val="24"/>
          <w:lang w:val="ru-RU"/>
        </w:rPr>
        <w:t>). Величины показателей, примененных для оценки будущих казначейских поступлений, необходимо аргументировать сквозь призму осуществленных анализов;</w:t>
      </w:r>
    </w:p>
    <w:p w:rsidR="009305B7" w:rsidRPr="009305B7" w:rsidRDefault="009305B7" w:rsidP="009305B7">
      <w:pPr>
        <w:pStyle w:val="ListParagraph"/>
        <w:numPr>
          <w:ilvl w:val="3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Заключения и комментарии актуария относительно установленных результатов и меры, предпринятые в случае регистрации дефицита резервов.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i/>
          <w:szCs w:val="24"/>
          <w:lang w:val="ru-RU"/>
        </w:rPr>
        <w:lastRenderedPageBreak/>
        <w:t xml:space="preserve">Результаты анализа чувствительности </w:t>
      </w:r>
      <w:r w:rsidRPr="009305B7">
        <w:rPr>
          <w:szCs w:val="24"/>
          <w:lang w:val="ru-RU"/>
        </w:rPr>
        <w:t>технических резервов, осуществленного по продуктам/классам страхования, в которых описываются проведенные анализы чувствительности путем представления установленных гипотез и сценариев о поведении/вариации некоторых показателей использованных в расчете технических резервов, принимая во внимание, как минимум, следующие гипотезы:</w:t>
      </w:r>
    </w:p>
    <w:p w:rsidR="009305B7" w:rsidRPr="009305B7" w:rsidRDefault="009305B7" w:rsidP="009305B7">
      <w:pPr>
        <w:pStyle w:val="ListParagraph"/>
        <w:numPr>
          <w:ilvl w:val="3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Для резерва </w:t>
      </w:r>
      <w:proofErr w:type="spellStart"/>
      <w:r w:rsidRPr="009305B7">
        <w:rPr>
          <w:szCs w:val="24"/>
          <w:lang w:val="ru-RU"/>
        </w:rPr>
        <w:t>неистекших</w:t>
      </w:r>
      <w:proofErr w:type="spellEnd"/>
      <w:r w:rsidRPr="009305B7">
        <w:rPr>
          <w:szCs w:val="24"/>
          <w:lang w:val="ru-RU"/>
        </w:rPr>
        <w:t xml:space="preserve"> рисков (РНР):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Изменение в сравнении с величинами, использованными для расчета РНР, зарегистрированное в балансе: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tbl>
      <w:tblPr>
        <w:tblpPr w:leftFromText="180" w:rightFromText="180" w:vertAnchor="text" w:horzAnchor="margin" w:tblpXSpec="center" w:tblpY="-69"/>
        <w:tblW w:w="7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731"/>
        <w:gridCol w:w="3885"/>
      </w:tblGrid>
      <w:tr w:rsidR="009305B7" w:rsidRPr="009305B7" w:rsidTr="00640747">
        <w:tc>
          <w:tcPr>
            <w:tcW w:w="3731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Показатели</w:t>
            </w:r>
          </w:p>
        </w:tc>
        <w:tc>
          <w:tcPr>
            <w:tcW w:w="3885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Сценарии, гипотезы</w:t>
            </w:r>
          </w:p>
        </w:tc>
      </w:tr>
      <w:tr w:rsidR="009305B7" w:rsidRPr="009305B7" w:rsidTr="00640747">
        <w:tc>
          <w:tcPr>
            <w:tcW w:w="3731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Коэффициент убыточности</w:t>
            </w:r>
          </w:p>
        </w:tc>
        <w:tc>
          <w:tcPr>
            <w:tcW w:w="3885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Сценарий I: +5  процентных пунктов  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Сценарий II, +20  процентных пунктов  </w:t>
            </w:r>
          </w:p>
        </w:tc>
      </w:tr>
      <w:tr w:rsidR="009305B7" w:rsidRPr="009305B7" w:rsidTr="00640747">
        <w:tc>
          <w:tcPr>
            <w:tcW w:w="3731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Норма административных расходов (исключение – расходы на посредничество)</w:t>
            </w:r>
          </w:p>
        </w:tc>
        <w:tc>
          <w:tcPr>
            <w:tcW w:w="3885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Сценарий I: +5    процентных пунктов  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Сценарий II,+20   процентных пунктов</w:t>
            </w:r>
          </w:p>
        </w:tc>
      </w:tr>
      <w:tr w:rsidR="009305B7" w:rsidRPr="009305B7" w:rsidTr="00640747">
        <w:tc>
          <w:tcPr>
            <w:tcW w:w="3731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Норма расходов на посредничество </w:t>
            </w:r>
          </w:p>
        </w:tc>
        <w:tc>
          <w:tcPr>
            <w:tcW w:w="3885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Сценарий I: +5   процентных пунктов  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Сценарий II,+20   процентных пунктов   </w:t>
            </w:r>
          </w:p>
        </w:tc>
      </w:tr>
    </w:tbl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3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Для резерва непринятых убытков: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Изменение в сравнении с величинами, использованными для расчета резерва непринятых убытков, зарегистрированное в балансе: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tbl>
      <w:tblPr>
        <w:tblW w:w="761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797"/>
        <w:gridCol w:w="4819"/>
      </w:tblGrid>
      <w:tr w:rsidR="009305B7" w:rsidRPr="009305B7" w:rsidTr="00640747">
        <w:tc>
          <w:tcPr>
            <w:tcW w:w="2797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Методы/показатели</w:t>
            </w:r>
          </w:p>
        </w:tc>
        <w:tc>
          <w:tcPr>
            <w:tcW w:w="4819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Сценарии, гипотезы </w:t>
            </w:r>
          </w:p>
        </w:tc>
      </w:tr>
      <w:tr w:rsidR="009305B7" w:rsidRPr="009305B7" w:rsidTr="00640747">
        <w:tc>
          <w:tcPr>
            <w:tcW w:w="2797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Для метода </w:t>
            </w:r>
            <w:proofErr w:type="spellStart"/>
            <w:r w:rsidRPr="009305B7">
              <w:rPr>
                <w:szCs w:val="24"/>
                <w:lang w:val="ru-RU"/>
              </w:rPr>
              <w:t>Bornhuetter</w:t>
            </w:r>
            <w:proofErr w:type="spellEnd"/>
            <w:r w:rsidRPr="009305B7">
              <w:rPr>
                <w:szCs w:val="24"/>
                <w:lang w:val="ru-RU"/>
              </w:rPr>
              <w:t xml:space="preserve"> </w:t>
            </w:r>
            <w:proofErr w:type="spellStart"/>
            <w:r w:rsidRPr="009305B7">
              <w:rPr>
                <w:szCs w:val="24"/>
                <w:lang w:val="ru-RU"/>
              </w:rPr>
              <w:t>Ferguson</w:t>
            </w:r>
            <w:proofErr w:type="spellEnd"/>
            <w:r w:rsidRPr="009305B7">
              <w:rPr>
                <w:szCs w:val="24"/>
                <w:lang w:val="ru-RU"/>
              </w:rPr>
              <w:t xml:space="preserve"> и метода</w:t>
            </w:r>
            <w:r w:rsidRPr="009305B7">
              <w:rPr>
                <w:szCs w:val="24"/>
                <w:highlight w:val="yellow"/>
                <w:lang w:val="ru-RU"/>
              </w:rPr>
              <w:t xml:space="preserve"> </w:t>
            </w:r>
            <w:r w:rsidRPr="009305B7">
              <w:rPr>
                <w:szCs w:val="24"/>
                <w:lang w:val="ru-RU"/>
              </w:rPr>
              <w:t>коэффициента убыточности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 - Коэффициент убыточности</w:t>
            </w:r>
          </w:p>
        </w:tc>
        <w:tc>
          <w:tcPr>
            <w:tcW w:w="4819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Сценарий I: +5 процентных пунктов   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Сценарий II, +20 процентных пунктов   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2797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Для метода </w:t>
            </w:r>
            <w:proofErr w:type="spellStart"/>
            <w:r w:rsidRPr="009305B7">
              <w:rPr>
                <w:szCs w:val="24"/>
                <w:lang w:val="ru-RU"/>
              </w:rPr>
              <w:t>Chain-Ladder</w:t>
            </w:r>
            <w:proofErr w:type="spellEnd"/>
            <w:r w:rsidRPr="009305B7">
              <w:rPr>
                <w:szCs w:val="24"/>
                <w:lang w:val="ru-RU"/>
              </w:rPr>
              <w:t>: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819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Сценарий I, увеличение отобранных коэффициентов развития убытков на  10%;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Сценарий III, применение максимальной стоимости коэффициентов развития 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</w:tbl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3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Для математических резервов:</w:t>
      </w: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Изменение в сравнении с величинами, использованными для расчета резерва, зарегистрированное в балансе:</w:t>
      </w:r>
    </w:p>
    <w:tbl>
      <w:tblPr>
        <w:tblpPr w:leftFromText="180" w:rightFromText="180" w:vertAnchor="text" w:horzAnchor="margin" w:tblpXSpec="center" w:tblpY="198"/>
        <w:tblW w:w="7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835"/>
        <w:gridCol w:w="4819"/>
      </w:tblGrid>
      <w:tr w:rsidR="009305B7" w:rsidRPr="009305B7" w:rsidTr="00640747">
        <w:tc>
          <w:tcPr>
            <w:tcW w:w="2835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Показатели</w:t>
            </w:r>
          </w:p>
        </w:tc>
        <w:tc>
          <w:tcPr>
            <w:tcW w:w="4819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proofErr w:type="spellStart"/>
            <w:r w:rsidRPr="009305B7">
              <w:rPr>
                <w:szCs w:val="24"/>
                <w:lang w:val="ru-RU"/>
              </w:rPr>
              <w:t>Scenarii</w:t>
            </w:r>
            <w:proofErr w:type="spellEnd"/>
            <w:r w:rsidRPr="009305B7">
              <w:rPr>
                <w:szCs w:val="24"/>
                <w:lang w:val="ru-RU"/>
              </w:rPr>
              <w:t xml:space="preserve">, </w:t>
            </w:r>
            <w:proofErr w:type="spellStart"/>
            <w:r w:rsidRPr="009305B7">
              <w:rPr>
                <w:szCs w:val="24"/>
                <w:lang w:val="ru-RU"/>
              </w:rPr>
              <w:t>Ipoteze</w:t>
            </w:r>
            <w:proofErr w:type="spellEnd"/>
          </w:p>
        </w:tc>
      </w:tr>
      <w:tr w:rsidR="009305B7" w:rsidRPr="009305B7" w:rsidTr="00640747">
        <w:tc>
          <w:tcPr>
            <w:tcW w:w="2835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Вероятность смерти</w:t>
            </w:r>
          </w:p>
        </w:tc>
        <w:tc>
          <w:tcPr>
            <w:tcW w:w="4819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Сценарий I: +15 %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Сценарий II, -20 %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2835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Норма расторжений </w:t>
            </w:r>
          </w:p>
        </w:tc>
        <w:tc>
          <w:tcPr>
            <w:tcW w:w="4819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Сценарий I: +50 %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Сценарий II, -50%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2835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Процентная ставка по инвестиционным инструментам (не </w:t>
            </w:r>
            <w:r w:rsidRPr="009305B7">
              <w:rPr>
                <w:szCs w:val="24"/>
                <w:lang w:val="ru-RU"/>
              </w:rPr>
              <w:lastRenderedPageBreak/>
              <w:t>меньше нуля)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4819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lastRenderedPageBreak/>
              <w:t>Сценарий I: -1.0 процентных пунктов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Сценарий II, -5.0  процентных пунктов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Сценарий III: процентная ставка равна нулю</w:t>
            </w:r>
          </w:p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</w:tbl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Ответственный актуарий может применять и другие дополнительные гипотезы для проведения анализа чувствительности. 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proofErr w:type="gramStart"/>
      <w:r w:rsidRPr="009305B7">
        <w:rPr>
          <w:b/>
          <w:szCs w:val="24"/>
          <w:lang w:val="ru-RU"/>
        </w:rPr>
        <w:t>Активы</w:t>
      </w:r>
      <w:r w:rsidRPr="009305B7">
        <w:rPr>
          <w:szCs w:val="24"/>
          <w:lang w:val="ru-RU"/>
        </w:rPr>
        <w:t xml:space="preserve"> – виды активов, использованных страховщиком для покрытия технических резервов, в том числе в сравнении с предыдущим отчетным периодом, степень их диверсификации, рентабельность инвестиции как минимум для инвестиций в банковские депозиты и корпоративные облигации, информация об оценке активов, примененные методы оценки или, в случае оценок проведенных оценщиком – информация об оценщике (наименование юридического лица, лицо, осуществившее оценку и др.), активы, обремененные обязанностями</w:t>
      </w:r>
      <w:proofErr w:type="gramEnd"/>
      <w:r w:rsidRPr="009305B7">
        <w:rPr>
          <w:szCs w:val="24"/>
          <w:lang w:val="ru-RU"/>
        </w:rPr>
        <w:t>, залогом, секвестром, а также другими обязательствами.</w:t>
      </w: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Результат распределения по периодам платежа будущих финансовых поступлений связанных с активами, покрывающими технические резервы, в сравнении </w:t>
      </w:r>
      <w:proofErr w:type="gramStart"/>
      <w:r w:rsidRPr="009305B7">
        <w:rPr>
          <w:szCs w:val="24"/>
          <w:lang w:val="ru-RU"/>
        </w:rPr>
        <w:t>с</w:t>
      </w:r>
      <w:proofErr w:type="gramEnd"/>
      <w:r w:rsidRPr="009305B7">
        <w:rPr>
          <w:szCs w:val="24"/>
          <w:lang w:val="ru-RU"/>
        </w:rPr>
        <w:t xml:space="preserve"> сроками платежа по будущим поступлениям от исполнения обязательств связанных с техническими резервами, отражается в соответствии с нижеследующим:</w:t>
      </w:r>
    </w:p>
    <w:p w:rsidR="009305B7" w:rsidRPr="009305B7" w:rsidRDefault="009305B7" w:rsidP="009305B7">
      <w:pPr>
        <w:shd w:val="clear" w:color="auto" w:fill="FFFFFF"/>
        <w:tabs>
          <w:tab w:val="left" w:pos="284"/>
        </w:tabs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Для технических резервов, характерных для категории общего страхования:</w:t>
      </w:r>
    </w:p>
    <w:tbl>
      <w:tblPr>
        <w:tblW w:w="95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131"/>
        <w:gridCol w:w="1820"/>
        <w:gridCol w:w="1820"/>
        <w:gridCol w:w="1390"/>
        <w:gridCol w:w="1381"/>
      </w:tblGrid>
      <w:tr w:rsidR="009305B7" w:rsidRPr="009305B7" w:rsidTr="00640747">
        <w:tc>
          <w:tcPr>
            <w:tcW w:w="3402" w:type="dxa"/>
            <w:vMerge w:val="restart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>Показатели</w:t>
            </w:r>
          </w:p>
        </w:tc>
        <w:tc>
          <w:tcPr>
            <w:tcW w:w="6140" w:type="dxa"/>
            <w:gridSpan w:val="4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>Сроки платежа</w:t>
            </w:r>
          </w:p>
        </w:tc>
      </w:tr>
      <w:tr w:rsidR="009305B7" w:rsidRPr="009305B7" w:rsidTr="00640747">
        <w:tc>
          <w:tcPr>
            <w:tcW w:w="3402" w:type="dxa"/>
            <w:vMerge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</w:p>
        </w:tc>
        <w:tc>
          <w:tcPr>
            <w:tcW w:w="1754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 xml:space="preserve">До трех месяцев включительно </w:t>
            </w:r>
          </w:p>
        </w:tc>
        <w:tc>
          <w:tcPr>
            <w:tcW w:w="1462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 xml:space="preserve">От трех до 12 месяцев включительно </w:t>
            </w:r>
          </w:p>
        </w:tc>
        <w:tc>
          <w:tcPr>
            <w:tcW w:w="1462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>Более 12 месяцев</w:t>
            </w:r>
          </w:p>
        </w:tc>
        <w:tc>
          <w:tcPr>
            <w:tcW w:w="1462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>ВСЕГО</w:t>
            </w:r>
          </w:p>
        </w:tc>
      </w:tr>
      <w:tr w:rsidR="009305B7" w:rsidRPr="009305B7" w:rsidTr="00640747">
        <w:tc>
          <w:tcPr>
            <w:tcW w:w="9542" w:type="dxa"/>
            <w:gridSpan w:val="5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Допущенные активы</w:t>
            </w:r>
          </w:p>
        </w:tc>
      </w:tr>
      <w:tr w:rsidR="009305B7" w:rsidRPr="009305B7" w:rsidTr="00640747">
        <w:tc>
          <w:tcPr>
            <w:tcW w:w="340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1.</w:t>
            </w:r>
          </w:p>
        </w:tc>
        <w:tc>
          <w:tcPr>
            <w:tcW w:w="175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40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2.</w:t>
            </w:r>
          </w:p>
        </w:tc>
        <w:tc>
          <w:tcPr>
            <w:tcW w:w="175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40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...</w:t>
            </w:r>
          </w:p>
        </w:tc>
        <w:tc>
          <w:tcPr>
            <w:tcW w:w="175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40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Всего I</w:t>
            </w:r>
          </w:p>
        </w:tc>
        <w:tc>
          <w:tcPr>
            <w:tcW w:w="175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9542" w:type="dxa"/>
            <w:gridSpan w:val="5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Технические резервы</w:t>
            </w:r>
          </w:p>
        </w:tc>
      </w:tr>
      <w:tr w:rsidR="009305B7" w:rsidRPr="009305B7" w:rsidTr="00640747">
        <w:tc>
          <w:tcPr>
            <w:tcW w:w="3402" w:type="dxa"/>
            <w:shd w:val="clear" w:color="auto" w:fill="D9D9D9"/>
          </w:tcPr>
          <w:p w:rsidR="009305B7" w:rsidRPr="009305B7" w:rsidRDefault="009305B7" w:rsidP="009305B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Резерв незаработанной премии</w:t>
            </w:r>
          </w:p>
        </w:tc>
        <w:tc>
          <w:tcPr>
            <w:tcW w:w="175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402" w:type="dxa"/>
            <w:shd w:val="clear" w:color="auto" w:fill="D9D9D9"/>
          </w:tcPr>
          <w:p w:rsidR="009305B7" w:rsidRPr="009305B7" w:rsidRDefault="009305B7" w:rsidP="009305B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Резерв </w:t>
            </w:r>
            <w:proofErr w:type="spellStart"/>
            <w:r w:rsidRPr="009305B7">
              <w:rPr>
                <w:szCs w:val="24"/>
                <w:lang w:val="ru-RU"/>
              </w:rPr>
              <w:t>неистекших</w:t>
            </w:r>
            <w:proofErr w:type="spellEnd"/>
            <w:r w:rsidRPr="009305B7">
              <w:rPr>
                <w:szCs w:val="24"/>
                <w:lang w:val="ru-RU"/>
              </w:rPr>
              <w:t xml:space="preserve"> рисков</w:t>
            </w:r>
          </w:p>
        </w:tc>
        <w:tc>
          <w:tcPr>
            <w:tcW w:w="175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402" w:type="dxa"/>
            <w:shd w:val="clear" w:color="auto" w:fill="D9D9D9"/>
          </w:tcPr>
          <w:p w:rsidR="009305B7" w:rsidRPr="009305B7" w:rsidRDefault="009305B7" w:rsidP="009305B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Резерв заявленных, но не урегулированных убытков </w:t>
            </w:r>
          </w:p>
        </w:tc>
        <w:tc>
          <w:tcPr>
            <w:tcW w:w="175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402" w:type="dxa"/>
            <w:shd w:val="clear" w:color="auto" w:fill="D9D9D9"/>
          </w:tcPr>
          <w:p w:rsidR="009305B7" w:rsidRPr="009305B7" w:rsidRDefault="009305B7" w:rsidP="009305B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Резерв непринятых убытков </w:t>
            </w:r>
          </w:p>
        </w:tc>
        <w:tc>
          <w:tcPr>
            <w:tcW w:w="175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40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Всего II</w:t>
            </w:r>
          </w:p>
        </w:tc>
        <w:tc>
          <w:tcPr>
            <w:tcW w:w="175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40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Излишек</w:t>
            </w:r>
            <w:proofErr w:type="gramStart"/>
            <w:r w:rsidRPr="009305B7">
              <w:rPr>
                <w:szCs w:val="24"/>
                <w:lang w:val="ru-RU"/>
              </w:rPr>
              <w:t xml:space="preserve"> (+) / </w:t>
            </w:r>
            <w:proofErr w:type="gramEnd"/>
            <w:r w:rsidRPr="009305B7">
              <w:rPr>
                <w:szCs w:val="24"/>
                <w:lang w:val="ru-RU"/>
              </w:rPr>
              <w:t>Дефицит (-) активов</w:t>
            </w:r>
          </w:p>
        </w:tc>
        <w:tc>
          <w:tcPr>
            <w:tcW w:w="175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</w:tbl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Для технических резервов, характерных для категории страхования жизни:</w:t>
      </w:r>
    </w:p>
    <w:tbl>
      <w:tblPr>
        <w:tblW w:w="95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227"/>
        <w:gridCol w:w="1820"/>
        <w:gridCol w:w="1820"/>
        <w:gridCol w:w="1313"/>
        <w:gridCol w:w="1362"/>
      </w:tblGrid>
      <w:tr w:rsidR="009305B7" w:rsidRPr="009305B7" w:rsidTr="00640747">
        <w:tc>
          <w:tcPr>
            <w:tcW w:w="3544" w:type="dxa"/>
            <w:vMerge w:val="restart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>Показатели</w:t>
            </w:r>
          </w:p>
        </w:tc>
        <w:tc>
          <w:tcPr>
            <w:tcW w:w="5998" w:type="dxa"/>
            <w:gridSpan w:val="4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>Сроки платежа</w:t>
            </w:r>
          </w:p>
        </w:tc>
      </w:tr>
      <w:tr w:rsidR="009305B7" w:rsidRPr="009305B7" w:rsidTr="00640747">
        <w:tc>
          <w:tcPr>
            <w:tcW w:w="3544" w:type="dxa"/>
            <w:vMerge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</w:p>
        </w:tc>
        <w:tc>
          <w:tcPr>
            <w:tcW w:w="1612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 xml:space="preserve">До одного года включительно </w:t>
            </w:r>
          </w:p>
        </w:tc>
        <w:tc>
          <w:tcPr>
            <w:tcW w:w="1462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 xml:space="preserve">От одного года до 5 лет включительно </w:t>
            </w:r>
          </w:p>
        </w:tc>
        <w:tc>
          <w:tcPr>
            <w:tcW w:w="1462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>Более 5 лет</w:t>
            </w:r>
          </w:p>
        </w:tc>
        <w:tc>
          <w:tcPr>
            <w:tcW w:w="1462" w:type="dxa"/>
            <w:shd w:val="clear" w:color="auto" w:fill="B6DDE8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b/>
                <w:szCs w:val="24"/>
                <w:lang w:val="ru-RU"/>
              </w:rPr>
            </w:pPr>
            <w:r w:rsidRPr="009305B7">
              <w:rPr>
                <w:b/>
                <w:szCs w:val="24"/>
                <w:lang w:val="ru-RU"/>
              </w:rPr>
              <w:t>ВСЕГО</w:t>
            </w:r>
          </w:p>
        </w:tc>
      </w:tr>
      <w:tr w:rsidR="009305B7" w:rsidRPr="009305B7" w:rsidTr="00640747">
        <w:tc>
          <w:tcPr>
            <w:tcW w:w="9542" w:type="dxa"/>
            <w:gridSpan w:val="5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Допущенные активы</w:t>
            </w:r>
          </w:p>
        </w:tc>
      </w:tr>
      <w:tr w:rsidR="009305B7" w:rsidRPr="009305B7" w:rsidTr="00640747">
        <w:tc>
          <w:tcPr>
            <w:tcW w:w="354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1.</w:t>
            </w:r>
          </w:p>
        </w:tc>
        <w:tc>
          <w:tcPr>
            <w:tcW w:w="161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54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2.</w:t>
            </w:r>
          </w:p>
        </w:tc>
        <w:tc>
          <w:tcPr>
            <w:tcW w:w="161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54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...</w:t>
            </w:r>
          </w:p>
        </w:tc>
        <w:tc>
          <w:tcPr>
            <w:tcW w:w="161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54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Всего I</w:t>
            </w:r>
          </w:p>
        </w:tc>
        <w:tc>
          <w:tcPr>
            <w:tcW w:w="161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9542" w:type="dxa"/>
            <w:gridSpan w:val="5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Технические резервы</w:t>
            </w:r>
          </w:p>
        </w:tc>
      </w:tr>
      <w:tr w:rsidR="009305B7" w:rsidRPr="009305B7" w:rsidTr="00640747">
        <w:tc>
          <w:tcPr>
            <w:tcW w:w="3544" w:type="dxa"/>
            <w:shd w:val="clear" w:color="auto" w:fill="D9D9D9"/>
          </w:tcPr>
          <w:p w:rsidR="009305B7" w:rsidRPr="009305B7" w:rsidRDefault="009305B7" w:rsidP="009305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Математический резерв</w:t>
            </w:r>
          </w:p>
        </w:tc>
        <w:tc>
          <w:tcPr>
            <w:tcW w:w="161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544" w:type="dxa"/>
            <w:shd w:val="clear" w:color="auto" w:fill="D9D9D9"/>
          </w:tcPr>
          <w:p w:rsidR="009305B7" w:rsidRPr="009305B7" w:rsidRDefault="009305B7" w:rsidP="009305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 xml:space="preserve">Добавочный </w:t>
            </w:r>
            <w:r w:rsidRPr="009305B7">
              <w:rPr>
                <w:szCs w:val="24"/>
                <w:lang w:val="ru-RU"/>
              </w:rPr>
              <w:lastRenderedPageBreak/>
              <w:t xml:space="preserve">математический резерв </w:t>
            </w:r>
          </w:p>
        </w:tc>
        <w:tc>
          <w:tcPr>
            <w:tcW w:w="161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544" w:type="dxa"/>
            <w:shd w:val="clear" w:color="auto" w:fill="D9D9D9"/>
          </w:tcPr>
          <w:p w:rsidR="009305B7" w:rsidRPr="009305B7" w:rsidRDefault="009305B7" w:rsidP="009305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lastRenderedPageBreak/>
              <w:t>Резерв для дополнительных льгот</w:t>
            </w:r>
          </w:p>
        </w:tc>
        <w:tc>
          <w:tcPr>
            <w:tcW w:w="161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544" w:type="dxa"/>
            <w:shd w:val="clear" w:color="auto" w:fill="D9D9D9"/>
          </w:tcPr>
          <w:p w:rsidR="009305B7" w:rsidRPr="009305B7" w:rsidRDefault="009305B7" w:rsidP="009305B7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...</w:t>
            </w:r>
          </w:p>
        </w:tc>
        <w:tc>
          <w:tcPr>
            <w:tcW w:w="161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54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Всего II</w:t>
            </w:r>
          </w:p>
        </w:tc>
        <w:tc>
          <w:tcPr>
            <w:tcW w:w="161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  <w:tr w:rsidR="009305B7" w:rsidRPr="009305B7" w:rsidTr="00640747">
        <w:tc>
          <w:tcPr>
            <w:tcW w:w="3544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  <w:r w:rsidRPr="009305B7">
              <w:rPr>
                <w:szCs w:val="24"/>
                <w:lang w:val="ru-RU"/>
              </w:rPr>
              <w:t>Излишек</w:t>
            </w:r>
            <w:proofErr w:type="gramStart"/>
            <w:r w:rsidRPr="009305B7">
              <w:rPr>
                <w:szCs w:val="24"/>
                <w:lang w:val="ru-RU"/>
              </w:rPr>
              <w:t xml:space="preserve"> (+) / </w:t>
            </w:r>
            <w:proofErr w:type="gramEnd"/>
            <w:r w:rsidRPr="009305B7">
              <w:rPr>
                <w:szCs w:val="24"/>
                <w:lang w:val="ru-RU"/>
              </w:rPr>
              <w:t>Дефицит (-) активов</w:t>
            </w:r>
          </w:p>
        </w:tc>
        <w:tc>
          <w:tcPr>
            <w:tcW w:w="161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  <w:tc>
          <w:tcPr>
            <w:tcW w:w="1462" w:type="dxa"/>
            <w:shd w:val="clear" w:color="auto" w:fill="D9D9D9"/>
          </w:tcPr>
          <w:p w:rsidR="009305B7" w:rsidRPr="009305B7" w:rsidRDefault="009305B7" w:rsidP="00640747">
            <w:pPr>
              <w:pStyle w:val="ListParagraph"/>
              <w:tabs>
                <w:tab w:val="left" w:pos="284"/>
              </w:tabs>
              <w:ind w:left="0"/>
              <w:jc w:val="both"/>
              <w:rPr>
                <w:szCs w:val="24"/>
                <w:lang w:val="ru-RU"/>
              </w:rPr>
            </w:pPr>
          </w:p>
        </w:tc>
      </w:tr>
    </w:tbl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b/>
          <w:szCs w:val="24"/>
          <w:lang w:val="ru-RU"/>
        </w:rPr>
        <w:t>Платежеспособность и ликвидность</w:t>
      </w:r>
      <w:r w:rsidRPr="009305B7">
        <w:rPr>
          <w:szCs w:val="24"/>
          <w:lang w:val="ru-RU"/>
        </w:rPr>
        <w:t xml:space="preserve"> – мнение актуария о степени адекватности финансовых показателей платежеспособности и ликвидности страховщика (перестраховщика). 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Отчет содержит анализ чувствительности:</w:t>
      </w:r>
    </w:p>
    <w:p w:rsidR="009305B7" w:rsidRPr="009305B7" w:rsidRDefault="009305B7" w:rsidP="009305B7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показателей платежеспособности, и представляется в форме и с показателями чувствительности, предусмотренными в нижеследующей таблице:</w:t>
      </w:r>
    </w:p>
    <w:tbl>
      <w:tblPr>
        <w:tblW w:w="9679" w:type="dxa"/>
        <w:tblInd w:w="-10" w:type="dxa"/>
        <w:tblLook w:val="04A0" w:firstRow="1" w:lastRow="0" w:firstColumn="1" w:lastColumn="0" w:noHBand="0" w:noVBand="1"/>
      </w:tblPr>
      <w:tblGrid>
        <w:gridCol w:w="688"/>
        <w:gridCol w:w="3523"/>
        <w:gridCol w:w="1957"/>
        <w:gridCol w:w="1756"/>
        <w:gridCol w:w="1755"/>
      </w:tblGrid>
      <w:tr w:rsidR="009305B7" w:rsidRPr="009305B7" w:rsidTr="00640747">
        <w:trPr>
          <w:trHeight w:val="315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proofErr w:type="gramStart"/>
            <w:r w:rsidRPr="009305B7">
              <w:rPr>
                <w:b/>
                <w:bCs/>
                <w:szCs w:val="24"/>
                <w:lang w:val="ru-RU" w:eastAsia="en-GB"/>
              </w:rPr>
              <w:t>П</w:t>
            </w:r>
            <w:proofErr w:type="gramEnd"/>
            <w:r w:rsidRPr="009305B7">
              <w:rPr>
                <w:b/>
                <w:bCs/>
                <w:szCs w:val="24"/>
                <w:lang w:val="ru-RU" w:eastAsia="en-GB"/>
              </w:rPr>
              <w:t>/н</w:t>
            </w:r>
          </w:p>
        </w:tc>
        <w:tc>
          <w:tcPr>
            <w:tcW w:w="3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Показатели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Величина согласно форме СМП_НД из приложения № 5 к Постановлению НКФР № 2/1 от 21.01</w:t>
            </w:r>
            <w:r w:rsidRPr="009305B7">
              <w:rPr>
                <w:b/>
                <w:bCs/>
                <w:szCs w:val="24"/>
                <w:lang w:eastAsia="en-GB"/>
              </w:rPr>
              <w:t>.</w:t>
            </w:r>
            <w:r w:rsidRPr="009305B7">
              <w:rPr>
                <w:b/>
                <w:bCs/>
                <w:szCs w:val="24"/>
                <w:lang w:val="ru-RU" w:eastAsia="en-GB"/>
              </w:rPr>
              <w:t>2011, лей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Сценарии чувствительности</w:t>
            </w:r>
          </w:p>
        </w:tc>
      </w:tr>
      <w:tr w:rsidR="009305B7" w:rsidRPr="009305B7" w:rsidTr="00640747">
        <w:trPr>
          <w:trHeight w:val="464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3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Сценарий I*</w:t>
            </w:r>
          </w:p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Cs/>
                <w:szCs w:val="24"/>
                <w:lang w:val="ru-RU" w:eastAsia="en-GB"/>
              </w:rPr>
              <w:t>(гипотезы об изменении показателей по сравнению с графой 2)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Сценарий II*</w:t>
            </w:r>
          </w:p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Cs/>
                <w:szCs w:val="24"/>
                <w:lang w:val="ru-RU" w:eastAsia="en-GB"/>
              </w:rPr>
              <w:t>(гипотезы об изменении показателей по сравнению с графой 2)</w:t>
            </w:r>
          </w:p>
        </w:tc>
      </w:tr>
      <w:tr w:rsidR="009305B7" w:rsidRPr="009305B7" w:rsidTr="00640747">
        <w:trPr>
          <w:trHeight w:val="33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A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4</w:t>
            </w:r>
          </w:p>
        </w:tc>
      </w:tr>
      <w:tr w:rsidR="009305B7" w:rsidRPr="009305B7" w:rsidTr="00640747">
        <w:trPr>
          <w:trHeight w:val="82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 xml:space="preserve">Активы, допущенные в Фонды страхователей, лей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Постоянный</w:t>
            </w:r>
          </w:p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-10%</w:t>
            </w:r>
          </w:p>
        </w:tc>
      </w:tr>
      <w:tr w:rsidR="009305B7" w:rsidRPr="009305B7" w:rsidTr="00640747">
        <w:trPr>
          <w:trHeight w:val="73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Договорные обязательства (Технические страховые резервы),  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+20%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+10%</w:t>
            </w:r>
          </w:p>
        </w:tc>
      </w:tr>
      <w:tr w:rsidR="009305B7" w:rsidRPr="009305B7" w:rsidTr="00640747">
        <w:trPr>
          <w:trHeight w:val="70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Излишек/дефицит в Фондах страхователей в сравнении с договорными обязательствами (стр.1 - стр.2), лей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</w:tr>
      <w:tr w:rsidR="009305B7" w:rsidRPr="009305B7" w:rsidTr="00640747">
        <w:trPr>
          <w:trHeight w:val="765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4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 xml:space="preserve">Активы в Фондах страховщика (перестраховщика), лей 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Постоянный</w:t>
            </w:r>
          </w:p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-10%</w:t>
            </w:r>
          </w:p>
        </w:tc>
      </w:tr>
      <w:tr w:rsidR="009305B7" w:rsidRPr="009305B7" w:rsidTr="00640747">
        <w:trPr>
          <w:trHeight w:val="780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5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proofErr w:type="gramStart"/>
            <w:r w:rsidRPr="009305B7">
              <w:rPr>
                <w:szCs w:val="24"/>
                <w:lang w:val="ru-RU" w:eastAsia="en-GB"/>
              </w:rPr>
              <w:t>Обязательства</w:t>
            </w:r>
            <w:proofErr w:type="gramEnd"/>
            <w:r w:rsidRPr="009305B7">
              <w:rPr>
                <w:szCs w:val="24"/>
                <w:lang w:val="ru-RU" w:eastAsia="en-GB"/>
              </w:rPr>
              <w:t xml:space="preserve"> связанные с Фондами страховщика (перестраховщика), лей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+20%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+10%</w:t>
            </w:r>
          </w:p>
        </w:tc>
      </w:tr>
      <w:tr w:rsidR="009305B7" w:rsidRPr="009305B7" w:rsidTr="00640747">
        <w:trPr>
          <w:trHeight w:val="645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Излишек/дефицит в Фондах страховщика (перестраховщика) (стр.4-стр.5), лей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</w:tr>
      <w:tr w:rsidR="009305B7" w:rsidRPr="009305B7" w:rsidTr="00640747">
        <w:trPr>
          <w:trHeight w:val="45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7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Всего свободной маржи платежеспособности (СМП) (стр. 3 +стр. 6), лей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</w:tr>
      <w:tr w:rsidR="009305B7" w:rsidRPr="009305B7" w:rsidTr="00640747">
        <w:trPr>
          <w:trHeight w:val="42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8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 xml:space="preserve">Всего минимальной маржи платежеспособности (ММП), лей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</w:tr>
      <w:tr w:rsidR="009305B7" w:rsidRPr="009305B7" w:rsidTr="00640747">
        <w:trPr>
          <w:trHeight w:val="330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9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proofErr w:type="gramStart"/>
            <w:r w:rsidRPr="009305B7">
              <w:rPr>
                <w:b/>
                <w:bCs/>
                <w:szCs w:val="24"/>
                <w:lang w:val="ru-RU" w:eastAsia="en-GB"/>
              </w:rPr>
              <w:t>Норма платежеспособности (стр. 7 / стр. 8] *100), %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</w:tr>
    </w:tbl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Примечание: * в графах указываются </w:t>
      </w:r>
      <w:proofErr w:type="gramStart"/>
      <w:r w:rsidRPr="009305B7">
        <w:rPr>
          <w:szCs w:val="24"/>
          <w:lang w:val="ru-RU"/>
        </w:rPr>
        <w:t>величины</w:t>
      </w:r>
      <w:proofErr w:type="gramEnd"/>
      <w:r w:rsidRPr="009305B7">
        <w:rPr>
          <w:szCs w:val="24"/>
          <w:lang w:val="ru-RU"/>
        </w:rPr>
        <w:t xml:space="preserve"> рассчитанные в леях, принимая во внимание гипотезы описанные в графах.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lastRenderedPageBreak/>
        <w:t>показателей ликвидности, и представляется в форме и с показателями чувствительности, предусмотренными в нижеследующей таблице:</w:t>
      </w:r>
    </w:p>
    <w:tbl>
      <w:tblPr>
        <w:tblW w:w="9679" w:type="dxa"/>
        <w:tblInd w:w="-10" w:type="dxa"/>
        <w:shd w:val="clear" w:color="auto" w:fill="D9D9D9"/>
        <w:tblLook w:val="04A0" w:firstRow="1" w:lastRow="0" w:firstColumn="1" w:lastColumn="0" w:noHBand="0" w:noVBand="1"/>
      </w:tblPr>
      <w:tblGrid>
        <w:gridCol w:w="689"/>
        <w:gridCol w:w="3521"/>
        <w:gridCol w:w="1957"/>
        <w:gridCol w:w="1756"/>
        <w:gridCol w:w="1756"/>
      </w:tblGrid>
      <w:tr w:rsidR="009305B7" w:rsidRPr="009305B7" w:rsidTr="00640747">
        <w:trPr>
          <w:trHeight w:val="315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proofErr w:type="gramStart"/>
            <w:r w:rsidRPr="009305B7">
              <w:rPr>
                <w:b/>
                <w:bCs/>
                <w:szCs w:val="24"/>
                <w:lang w:val="ru-RU" w:eastAsia="en-GB"/>
              </w:rPr>
              <w:t>П</w:t>
            </w:r>
            <w:proofErr w:type="gramEnd"/>
            <w:r w:rsidRPr="009305B7">
              <w:rPr>
                <w:b/>
                <w:bCs/>
                <w:szCs w:val="24"/>
                <w:lang w:val="ru-RU" w:eastAsia="en-GB"/>
              </w:rPr>
              <w:t>/н</w:t>
            </w:r>
          </w:p>
        </w:tc>
        <w:tc>
          <w:tcPr>
            <w:tcW w:w="3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Показатели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Величина согласно форме КЛ из приложения № 6 к Постановлению НКФР № 2/1 от 21.01</w:t>
            </w:r>
            <w:r w:rsidRPr="009305B7">
              <w:rPr>
                <w:b/>
                <w:bCs/>
                <w:szCs w:val="24"/>
                <w:lang w:eastAsia="en-GB"/>
              </w:rPr>
              <w:t>.</w:t>
            </w:r>
            <w:r w:rsidRPr="009305B7">
              <w:rPr>
                <w:b/>
                <w:bCs/>
                <w:szCs w:val="24"/>
                <w:lang w:val="ru-RU" w:eastAsia="en-GB"/>
              </w:rPr>
              <w:t xml:space="preserve">2011, лей 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 xml:space="preserve">Сценарии чувствительности </w:t>
            </w:r>
          </w:p>
        </w:tc>
      </w:tr>
      <w:tr w:rsidR="009305B7" w:rsidRPr="009305B7" w:rsidTr="00640747">
        <w:trPr>
          <w:trHeight w:val="464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35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Сценарий I*</w:t>
            </w:r>
          </w:p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Cs/>
                <w:szCs w:val="24"/>
                <w:lang w:val="ru-RU" w:eastAsia="en-GB"/>
              </w:rPr>
            </w:pPr>
            <w:r w:rsidRPr="009305B7">
              <w:rPr>
                <w:bCs/>
                <w:szCs w:val="24"/>
                <w:lang w:val="ru-RU" w:eastAsia="en-GB"/>
              </w:rPr>
              <w:t>(гипотезы об изменении показателей по сравнению с графой 2)</w:t>
            </w:r>
          </w:p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Сценарий II*</w:t>
            </w:r>
          </w:p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Cs/>
                <w:szCs w:val="24"/>
                <w:lang w:val="ru-RU" w:eastAsia="en-GB"/>
              </w:rPr>
              <w:t>(гипотезы об изменении показателей по сравнению с графой 2)</w:t>
            </w:r>
          </w:p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</w:tr>
      <w:tr w:rsidR="009305B7" w:rsidRPr="009305B7" w:rsidTr="00640747">
        <w:trPr>
          <w:trHeight w:val="3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4</w:t>
            </w:r>
          </w:p>
        </w:tc>
      </w:tr>
      <w:tr w:rsidR="009305B7" w:rsidRPr="009305B7" w:rsidTr="00640747">
        <w:trPr>
          <w:trHeight w:val="39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Всего ликвидных активов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Постоянный</w:t>
            </w:r>
          </w:p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-10%</w:t>
            </w:r>
          </w:p>
        </w:tc>
      </w:tr>
      <w:tr w:rsidR="009305B7" w:rsidRPr="009305B7" w:rsidTr="00640747">
        <w:trPr>
          <w:trHeight w:val="735"/>
        </w:trPr>
        <w:tc>
          <w:tcPr>
            <w:tcW w:w="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2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 xml:space="preserve">Обязательства, по которым настал срок платежа, согласно договорам страхования (перестрахования)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+20%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+10%</w:t>
            </w:r>
          </w:p>
        </w:tc>
      </w:tr>
      <w:tr w:rsidR="009305B7" w:rsidRPr="009305B7" w:rsidTr="00640747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Cs/>
                <w:szCs w:val="24"/>
                <w:lang w:val="ru-RU" w:eastAsia="en-GB"/>
              </w:rPr>
            </w:pPr>
            <w:r w:rsidRPr="009305B7">
              <w:rPr>
                <w:bCs/>
                <w:szCs w:val="24"/>
                <w:lang w:val="ru-RU" w:eastAsia="en-GB"/>
              </w:rPr>
              <w:t>3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Cs/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 xml:space="preserve">Обязательства, по которым настал срок платежа, вытекающие из операционной деятельности, </w:t>
            </w:r>
            <w:proofErr w:type="gramStart"/>
            <w:r w:rsidRPr="009305B7">
              <w:rPr>
                <w:szCs w:val="24"/>
                <w:lang w:val="ru-RU" w:eastAsia="en-GB"/>
              </w:rPr>
              <w:t>другие</w:t>
            </w:r>
            <w:proofErr w:type="gramEnd"/>
            <w:r w:rsidRPr="009305B7">
              <w:rPr>
                <w:szCs w:val="24"/>
                <w:lang w:val="ru-RU" w:eastAsia="en-GB"/>
              </w:rPr>
              <w:t xml:space="preserve"> чем указанные в стр. 2 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+20%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+10%</w:t>
            </w:r>
          </w:p>
        </w:tc>
      </w:tr>
      <w:tr w:rsidR="009305B7" w:rsidRPr="009305B7" w:rsidTr="00640747">
        <w:trPr>
          <w:trHeight w:val="357"/>
        </w:trPr>
        <w:tc>
          <w:tcPr>
            <w:tcW w:w="6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4</w:t>
            </w:r>
          </w:p>
        </w:tc>
        <w:tc>
          <w:tcPr>
            <w:tcW w:w="35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 xml:space="preserve">Прочие обязательства, по которым настал срок платежа </w:t>
            </w:r>
          </w:p>
        </w:tc>
        <w:tc>
          <w:tcPr>
            <w:tcW w:w="19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+20%</w:t>
            </w:r>
          </w:p>
        </w:tc>
        <w:tc>
          <w:tcPr>
            <w:tcW w:w="17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szCs w:val="24"/>
                <w:lang w:val="ru-RU" w:eastAsia="en-GB"/>
              </w:rPr>
              <w:t>+10%</w:t>
            </w:r>
          </w:p>
        </w:tc>
      </w:tr>
      <w:tr w:rsidR="009305B7" w:rsidRPr="009305B7" w:rsidTr="00640747">
        <w:trPr>
          <w:trHeight w:val="41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szCs w:val="24"/>
                <w:lang w:val="ru-RU" w:eastAsia="en-GB"/>
              </w:rPr>
            </w:pPr>
            <w:r w:rsidRPr="009305B7">
              <w:rPr>
                <w:b/>
                <w:szCs w:val="24"/>
                <w:lang w:val="ru-RU" w:eastAsia="en-GB"/>
              </w:rPr>
              <w:t>5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 xml:space="preserve">Всего </w:t>
            </w:r>
            <w:r w:rsidRPr="009305B7">
              <w:rPr>
                <w:b/>
                <w:szCs w:val="24"/>
                <w:lang w:val="ru-RU" w:eastAsia="en-GB"/>
              </w:rPr>
              <w:t>обязательств, по которым настал срок платежа</w:t>
            </w:r>
            <w:r w:rsidRPr="009305B7">
              <w:rPr>
                <w:b/>
                <w:bCs/>
                <w:szCs w:val="24"/>
                <w:lang w:val="ru-RU" w:eastAsia="en-GB"/>
              </w:rPr>
              <w:t xml:space="preserve"> (2+3+4)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szCs w:val="24"/>
                <w:lang w:val="ru-RU" w:eastAsia="en-GB"/>
              </w:rPr>
            </w:pPr>
          </w:p>
        </w:tc>
      </w:tr>
      <w:tr w:rsidR="009305B7" w:rsidRPr="009305B7" w:rsidTr="00640747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  <w:r w:rsidRPr="009305B7">
              <w:rPr>
                <w:b/>
                <w:bCs/>
                <w:szCs w:val="24"/>
                <w:lang w:val="ru-RU" w:eastAsia="en-GB"/>
              </w:rPr>
              <w:t>Коэффициент ликвидности стр.1/ стр.5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5B7" w:rsidRPr="009305B7" w:rsidRDefault="009305B7" w:rsidP="00640747">
            <w:pPr>
              <w:tabs>
                <w:tab w:val="left" w:pos="284"/>
              </w:tabs>
              <w:jc w:val="both"/>
              <w:rPr>
                <w:b/>
                <w:bCs/>
                <w:szCs w:val="24"/>
                <w:lang w:val="ru-RU" w:eastAsia="en-GB"/>
              </w:rPr>
            </w:pPr>
          </w:p>
        </w:tc>
      </w:tr>
    </w:tbl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Примечание: * в графах указываются </w:t>
      </w:r>
      <w:proofErr w:type="gramStart"/>
      <w:r w:rsidRPr="009305B7">
        <w:rPr>
          <w:szCs w:val="24"/>
          <w:lang w:val="ru-RU"/>
        </w:rPr>
        <w:t>величины</w:t>
      </w:r>
      <w:proofErr w:type="gramEnd"/>
      <w:r w:rsidRPr="009305B7">
        <w:rPr>
          <w:szCs w:val="24"/>
          <w:lang w:val="ru-RU"/>
        </w:rPr>
        <w:t xml:space="preserve"> рассчитанные в леях, принимая во внимание гипотезы описанные в графах.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 xml:space="preserve">Ответственный актуарий может применять и другие дополнительные гипотезы для проведения анализа чувствительности. 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b/>
          <w:szCs w:val="24"/>
          <w:lang w:val="ru-RU"/>
        </w:rPr>
        <w:t>Страховые премии</w:t>
      </w:r>
      <w:r w:rsidRPr="009305B7">
        <w:rPr>
          <w:szCs w:val="24"/>
          <w:lang w:val="ru-RU"/>
        </w:rPr>
        <w:t xml:space="preserve"> – информация о страховых премиях/тарифах, которые были </w:t>
      </w:r>
      <w:proofErr w:type="gramStart"/>
      <w:r w:rsidRPr="009305B7">
        <w:rPr>
          <w:szCs w:val="24"/>
          <w:lang w:val="ru-RU"/>
        </w:rPr>
        <w:t>изменены</w:t>
      </w:r>
      <w:proofErr w:type="gramEnd"/>
      <w:r w:rsidRPr="009305B7">
        <w:rPr>
          <w:szCs w:val="24"/>
          <w:lang w:val="ru-RU"/>
        </w:rPr>
        <w:t xml:space="preserve">/разработаны на протяжении отчетного года, относящаяся к критериям определения премий по каждому страховому продукту, включая мнение об адекватности уровня страховых премий/тарифов, общей политики принятия рисков, исходя из адекватности структуры страховой (перестраховочной) премии, сравнительный анализ самых лучших оценок с предыдущим опытом и представление детального анализа, на котором обосновано мнение; </w:t>
      </w:r>
    </w:p>
    <w:p w:rsidR="009305B7" w:rsidRPr="009305B7" w:rsidRDefault="009305B7" w:rsidP="009305B7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b/>
          <w:szCs w:val="24"/>
          <w:lang w:val="ru-RU"/>
        </w:rPr>
        <w:t>Управление рисками</w:t>
      </w:r>
      <w:r w:rsidRPr="009305B7">
        <w:rPr>
          <w:szCs w:val="24"/>
          <w:lang w:val="ru-RU"/>
        </w:rPr>
        <w:t xml:space="preserve"> – представленная информация и вклад актуария в реализацию функции управления рисками в рамках страховщика (перестраховщика) (например: информация о будущих финансовых поступлениях, связанных </w:t>
      </w:r>
      <w:proofErr w:type="gramStart"/>
      <w:r w:rsidRPr="009305B7">
        <w:rPr>
          <w:szCs w:val="24"/>
          <w:lang w:val="ru-RU"/>
        </w:rPr>
        <w:t>с</w:t>
      </w:r>
      <w:proofErr w:type="gramEnd"/>
      <w:r w:rsidRPr="009305B7">
        <w:rPr>
          <w:szCs w:val="24"/>
          <w:lang w:val="ru-RU"/>
        </w:rPr>
        <w:t xml:space="preserve"> страховыми премиями и резервами и др.);</w:t>
      </w:r>
    </w:p>
    <w:p w:rsidR="009305B7" w:rsidRPr="009305B7" w:rsidRDefault="009305B7" w:rsidP="009305B7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b/>
          <w:szCs w:val="24"/>
          <w:lang w:val="ru-RU"/>
        </w:rPr>
        <w:t>Результаты</w:t>
      </w:r>
      <w:r w:rsidRPr="009305B7">
        <w:rPr>
          <w:szCs w:val="24"/>
          <w:lang w:val="ru-RU"/>
        </w:rPr>
        <w:t xml:space="preserve"> – заключения и мнения, констатированные актуарием, в общей форме, в процессе осуществления оценок ситуации, достаточности и установленных рисков по техническим резервам, активов, платежеспособности и страховых/перестраховочных премий, обобщенно и по продуктам страхования/классам страхования, описание специфики программ перестрахования и соответствие договоров перестрахования.</w:t>
      </w:r>
    </w:p>
    <w:p w:rsidR="009305B7" w:rsidRPr="009305B7" w:rsidRDefault="009305B7" w:rsidP="009305B7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Cs w:val="24"/>
          <w:lang w:val="ru-RU"/>
        </w:rPr>
      </w:pPr>
    </w:p>
    <w:p w:rsidR="009305B7" w:rsidRPr="009305B7" w:rsidRDefault="009305B7" w:rsidP="009305B7">
      <w:pPr>
        <w:pStyle w:val="BodyText3"/>
        <w:tabs>
          <w:tab w:val="left" w:pos="0"/>
          <w:tab w:val="left" w:pos="284"/>
          <w:tab w:val="num" w:pos="1173"/>
        </w:tabs>
        <w:spacing w:after="0"/>
        <w:jc w:val="both"/>
        <w:rPr>
          <w:b/>
          <w:sz w:val="24"/>
          <w:szCs w:val="24"/>
          <w:lang w:val="ru-RU"/>
        </w:rPr>
      </w:pPr>
      <w:r w:rsidRPr="009305B7">
        <w:rPr>
          <w:b/>
          <w:sz w:val="24"/>
          <w:szCs w:val="24"/>
          <w:lang w:val="ru-RU"/>
        </w:rPr>
        <w:t>Глава III</w:t>
      </w:r>
    </w:p>
    <w:p w:rsidR="009305B7" w:rsidRPr="009305B7" w:rsidRDefault="009305B7" w:rsidP="009305B7">
      <w:pPr>
        <w:pStyle w:val="BodyText3"/>
        <w:tabs>
          <w:tab w:val="left" w:pos="0"/>
          <w:tab w:val="left" w:pos="284"/>
          <w:tab w:val="num" w:pos="1173"/>
        </w:tabs>
        <w:spacing w:after="0"/>
        <w:jc w:val="both"/>
        <w:rPr>
          <w:b/>
          <w:sz w:val="24"/>
          <w:szCs w:val="24"/>
          <w:lang w:val="ru-RU"/>
        </w:rPr>
      </w:pPr>
      <w:r w:rsidRPr="009305B7">
        <w:rPr>
          <w:b/>
          <w:sz w:val="24"/>
          <w:szCs w:val="24"/>
          <w:lang w:val="ru-RU"/>
        </w:rPr>
        <w:t>ОТЧЕТНОСТЬ, УТВЕРЖДЕНИЕ И НАКАЗАНИЕ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bCs/>
          <w:szCs w:val="24"/>
          <w:lang w:val="ru-RU"/>
        </w:rPr>
      </w:pPr>
      <w:r w:rsidRPr="009305B7">
        <w:rPr>
          <w:bCs/>
          <w:szCs w:val="24"/>
          <w:lang w:val="ru-RU"/>
        </w:rPr>
        <w:lastRenderedPageBreak/>
        <w:t xml:space="preserve">Актуарий страховщика (перестраховщика) обязан представить органу надзора Актуарный отчет с проставленной датой, печатью и личной подписью до 31 мая года, следующего за отчетным годом, на бумажном носителе и в электронной форме </w:t>
      </w:r>
      <w:r w:rsidRPr="009305B7">
        <w:rPr>
          <w:szCs w:val="24"/>
          <w:lang w:val="ru-RU" w:eastAsia="en-US"/>
        </w:rPr>
        <w:t>(формат „</w:t>
      </w:r>
      <w:proofErr w:type="spellStart"/>
      <w:r w:rsidRPr="009305B7">
        <w:rPr>
          <w:szCs w:val="24"/>
          <w:lang w:val="ru-RU" w:eastAsia="en-US"/>
        </w:rPr>
        <w:t>pdf</w:t>
      </w:r>
      <w:proofErr w:type="spellEnd"/>
      <w:r w:rsidRPr="009305B7">
        <w:rPr>
          <w:szCs w:val="24"/>
          <w:lang w:val="ru-RU" w:eastAsia="en-US"/>
        </w:rPr>
        <w:t>”). В случае выявления несовпадений данных Актуарного отчета представленного на бумажном носителе и его электронного варианта, преимуществом будет обладать вариант отчета на бумажном носителе</w:t>
      </w:r>
      <w:r w:rsidRPr="009305B7">
        <w:rPr>
          <w:szCs w:val="24"/>
          <w:lang w:val="ru-RU"/>
        </w:rPr>
        <w:t>.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Cs/>
          <w:szCs w:val="24"/>
          <w:lang w:val="ru-RU"/>
        </w:rPr>
      </w:pPr>
      <w:r w:rsidRPr="009305B7">
        <w:rPr>
          <w:szCs w:val="24"/>
          <w:lang w:val="ru-RU" w:eastAsia="en-US"/>
        </w:rPr>
        <w:t>До представления Актуарного отчета органу надзора в соответствии с  положениями пункта 7, ответственный актуарий представляет его органам управления страховщика (перестраховщика) для ознакомления, а также, с согласия органов управления страховщика (перестраховщика), другим органам по требованию.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Cs/>
          <w:szCs w:val="24"/>
          <w:lang w:val="ru-RU"/>
        </w:rPr>
      </w:pPr>
      <w:r w:rsidRPr="009305B7">
        <w:rPr>
          <w:bCs/>
          <w:szCs w:val="24"/>
          <w:lang w:val="ru-RU"/>
        </w:rPr>
        <w:t>Органы управления страховщика (перестраховщика) может запросить,  основываясь на аргументированных фактических и правовых обстоятельствах, но не может обязать ответственного актуария, изменить свои мнения, описания, комментарии и заключения, содержащиеся в Актуарном отчете.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Cs/>
          <w:szCs w:val="24"/>
          <w:lang w:val="ru-RU"/>
        </w:rPr>
      </w:pPr>
      <w:r w:rsidRPr="009305B7">
        <w:rPr>
          <w:bCs/>
          <w:szCs w:val="24"/>
          <w:lang w:val="ru-RU"/>
        </w:rPr>
        <w:t xml:space="preserve">В случае если актуарий страховщика (перестраховщика) не представляет органу надзора Актуарный отчет в срок, предусмотренный в пункте 7 настоящего Положения, Актуарный отчет представляется органами управления страховщика (перестраховщика) в течение 5 рабочих дней с даты, предусмотренной в пункте 7 настоящего Положения. 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b/>
          <w:szCs w:val="24"/>
          <w:lang w:val="ru-RU" w:eastAsia="en-US"/>
        </w:rPr>
      </w:pPr>
      <w:r w:rsidRPr="009305B7">
        <w:rPr>
          <w:szCs w:val="24"/>
          <w:lang w:val="ru-RU"/>
        </w:rPr>
        <w:t>Орган надзора может запросить у актуария страховщика (перестраховщика) или органов управления страховщика (перестраховщика), которые представили Актуарный отчет органу надзора, дополнительную информацию или разъяснения относительно содержания Актуарного отчета страховщика (перестраховщика)</w:t>
      </w:r>
      <w:r w:rsidRPr="009305B7">
        <w:rPr>
          <w:bCs/>
          <w:szCs w:val="24"/>
          <w:lang w:val="ru-RU"/>
        </w:rPr>
        <w:t>.</w:t>
      </w:r>
    </w:p>
    <w:p w:rsidR="009305B7" w:rsidRPr="009305B7" w:rsidRDefault="009305B7" w:rsidP="009305B7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Cs w:val="24"/>
          <w:lang w:val="ru-RU" w:eastAsia="en-US"/>
        </w:rPr>
      </w:pPr>
      <w:r w:rsidRPr="009305B7">
        <w:rPr>
          <w:bCs/>
          <w:szCs w:val="24"/>
          <w:lang w:val="ru-RU"/>
        </w:rPr>
        <w:t xml:space="preserve">Несоблюдение требований настоящего Положения является нарушением и подлежит наказанию </w:t>
      </w:r>
      <w:r w:rsidRPr="009305B7">
        <w:rPr>
          <w:szCs w:val="24"/>
          <w:lang w:val="ru-RU"/>
        </w:rPr>
        <w:t>в соответствии с положениями законодательства</w:t>
      </w:r>
      <w:r w:rsidRPr="009305B7">
        <w:rPr>
          <w:bCs/>
          <w:szCs w:val="24"/>
          <w:lang w:val="ru-RU"/>
        </w:rPr>
        <w:t>.</w:t>
      </w: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szCs w:val="24"/>
          <w:highlight w:val="yellow"/>
          <w:lang w:val="ru-RU" w:eastAsia="en-US"/>
        </w:rPr>
      </w:pPr>
    </w:p>
    <w:p w:rsidR="009305B7" w:rsidRPr="009305B7" w:rsidRDefault="009305B7" w:rsidP="009305B7">
      <w:pPr>
        <w:pStyle w:val="Heading4"/>
        <w:shd w:val="clear" w:color="auto" w:fill="FFFFFF"/>
        <w:tabs>
          <w:tab w:val="left" w:pos="284"/>
        </w:tabs>
        <w:spacing w:before="0"/>
        <w:jc w:val="right"/>
        <w:rPr>
          <w:rFonts w:ascii="Times New Roman" w:hAnsi="Times New Roman"/>
          <w:i w:val="0"/>
          <w:color w:val="auto"/>
          <w:szCs w:val="24"/>
          <w:lang w:val="ru-RU"/>
        </w:rPr>
      </w:pPr>
      <w:r w:rsidRPr="009305B7">
        <w:rPr>
          <w:rFonts w:ascii="Times New Roman" w:hAnsi="Times New Roman"/>
          <w:i w:val="0"/>
          <w:color w:val="auto"/>
          <w:szCs w:val="24"/>
          <w:lang w:val="ru-RU"/>
        </w:rPr>
        <w:lastRenderedPageBreak/>
        <w:t xml:space="preserve">Приложение </w:t>
      </w:r>
    </w:p>
    <w:p w:rsidR="009305B7" w:rsidRPr="009305B7" w:rsidRDefault="009305B7" w:rsidP="009305B7">
      <w:pPr>
        <w:pStyle w:val="Heading4"/>
        <w:shd w:val="clear" w:color="auto" w:fill="FFFFFF"/>
        <w:tabs>
          <w:tab w:val="left" w:pos="284"/>
        </w:tabs>
        <w:spacing w:before="0"/>
        <w:jc w:val="right"/>
        <w:rPr>
          <w:rFonts w:ascii="Times New Roman" w:hAnsi="Times New Roman"/>
          <w:i w:val="0"/>
          <w:color w:val="auto"/>
          <w:szCs w:val="24"/>
          <w:lang w:val="ru-RU"/>
        </w:rPr>
      </w:pPr>
      <w:r w:rsidRPr="009305B7">
        <w:rPr>
          <w:rFonts w:ascii="Times New Roman" w:hAnsi="Times New Roman"/>
          <w:i w:val="0"/>
          <w:color w:val="auto"/>
          <w:szCs w:val="24"/>
          <w:lang w:val="ru-RU"/>
        </w:rPr>
        <w:t xml:space="preserve">к Положению об актуарном отчете </w:t>
      </w:r>
    </w:p>
    <w:p w:rsidR="009305B7" w:rsidRPr="009305B7" w:rsidRDefault="009305B7" w:rsidP="009305B7">
      <w:pPr>
        <w:pStyle w:val="Heading4"/>
        <w:shd w:val="clear" w:color="auto" w:fill="FFFFFF"/>
        <w:tabs>
          <w:tab w:val="left" w:pos="284"/>
        </w:tabs>
        <w:spacing w:before="0"/>
        <w:jc w:val="right"/>
        <w:rPr>
          <w:rFonts w:ascii="Times New Roman" w:hAnsi="Times New Roman"/>
          <w:i w:val="0"/>
          <w:color w:val="auto"/>
          <w:szCs w:val="24"/>
          <w:lang w:val="ru-RU"/>
        </w:rPr>
      </w:pPr>
      <w:r w:rsidRPr="009305B7">
        <w:rPr>
          <w:rFonts w:ascii="Times New Roman" w:hAnsi="Times New Roman"/>
          <w:i w:val="0"/>
          <w:color w:val="auto"/>
          <w:szCs w:val="24"/>
          <w:lang w:val="ru-RU"/>
        </w:rPr>
        <w:t>страховщика (перестраховщика)</w:t>
      </w:r>
    </w:p>
    <w:p w:rsidR="009305B7" w:rsidRPr="009305B7" w:rsidRDefault="009305B7" w:rsidP="009305B7">
      <w:pPr>
        <w:pStyle w:val="Heading4"/>
        <w:shd w:val="clear" w:color="auto" w:fill="FFFFFF"/>
        <w:tabs>
          <w:tab w:val="left" w:pos="284"/>
        </w:tabs>
        <w:spacing w:before="0"/>
        <w:jc w:val="both"/>
        <w:rPr>
          <w:rFonts w:ascii="Times New Roman" w:hAnsi="Times New Roman"/>
          <w:i w:val="0"/>
          <w:color w:val="auto"/>
          <w:szCs w:val="24"/>
          <w:lang w:val="ru-RU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b/>
          <w:szCs w:val="24"/>
          <w:lang w:val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b/>
          <w:szCs w:val="24"/>
          <w:lang w:val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b/>
          <w:szCs w:val="24"/>
          <w:lang w:val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b/>
          <w:szCs w:val="24"/>
          <w:lang w:val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b/>
          <w:szCs w:val="24"/>
          <w:lang w:val="en-US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b/>
          <w:szCs w:val="24"/>
          <w:lang w:val="en-US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lang w:val="ru-RU"/>
        </w:rPr>
      </w:pPr>
      <w:r w:rsidRPr="009305B7">
        <w:rPr>
          <w:b/>
          <w:lang w:val="ru-RU"/>
        </w:rPr>
        <w:t>______________________________________________________</w:t>
      </w: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lang w:val="ru-RU"/>
        </w:rPr>
      </w:pPr>
      <w:r w:rsidRPr="009305B7">
        <w:rPr>
          <w:lang w:val="ru-RU"/>
        </w:rPr>
        <w:t>Наименование страховщика</w:t>
      </w: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lang w:val="ru-RU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lang w:val="ru-RU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lang w:val="ru-RU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lang w:val="ru-RU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lang w:val="ru-RU"/>
        </w:rPr>
      </w:pPr>
      <w:r w:rsidRPr="009305B7">
        <w:rPr>
          <w:b/>
          <w:lang w:val="ru-RU"/>
        </w:rPr>
        <w:t>АКТУАРНЫЙ ОТЧЕТ</w:t>
      </w: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lang w:val="ru-RU"/>
        </w:rPr>
      </w:pPr>
      <w:r w:rsidRPr="009305B7">
        <w:rPr>
          <w:b/>
          <w:lang w:val="ru-RU"/>
        </w:rPr>
        <w:br/>
        <w:t xml:space="preserve">по </w:t>
      </w:r>
      <w:r w:rsidRPr="009305B7">
        <w:rPr>
          <w:b/>
          <w:u w:val="single"/>
          <w:lang w:val="ru-RU"/>
        </w:rPr>
        <w:t>________________________________________</w:t>
      </w: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lang w:val="ru-RU"/>
        </w:rPr>
      </w:pPr>
      <w:r w:rsidRPr="009305B7">
        <w:rPr>
          <w:lang w:val="ru-RU"/>
        </w:rPr>
        <w:t>Категория страхования</w:t>
      </w: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ru-RU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ru-RU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ru-RU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ru-RU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0"/>
        <w:gridCol w:w="9038"/>
      </w:tblGrid>
      <w:tr w:rsidR="009305B7" w:rsidRPr="009305B7" w:rsidTr="00640747">
        <w:tc>
          <w:tcPr>
            <w:tcW w:w="250" w:type="dxa"/>
            <w:shd w:val="clear" w:color="auto" w:fill="FFFFFF"/>
          </w:tcPr>
          <w:p w:rsidR="009305B7" w:rsidRPr="009305B7" w:rsidRDefault="009305B7" w:rsidP="00640747">
            <w:pPr>
              <w:pStyle w:val="ac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9038" w:type="dxa"/>
            <w:shd w:val="clear" w:color="auto" w:fill="FFFFFF"/>
          </w:tcPr>
          <w:p w:rsidR="009305B7" w:rsidRPr="009305B7" w:rsidRDefault="009305B7" w:rsidP="00640747">
            <w:pPr>
              <w:pStyle w:val="ac"/>
              <w:shd w:val="clear" w:color="auto" w:fill="FFFFFF"/>
              <w:tabs>
                <w:tab w:val="left" w:pos="-392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9305B7">
              <w:rPr>
                <w:lang w:val="ru-RU"/>
              </w:rPr>
              <w:t>Фамилия, имя актуария:</w:t>
            </w:r>
          </w:p>
          <w:p w:rsidR="009305B7" w:rsidRPr="009305B7" w:rsidRDefault="009305B7" w:rsidP="00640747">
            <w:pPr>
              <w:pStyle w:val="ac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9305B7">
              <w:rPr>
                <w:lang w:val="ru-RU"/>
              </w:rPr>
              <w:t>____________________</w:t>
            </w:r>
          </w:p>
          <w:p w:rsidR="009305B7" w:rsidRPr="009305B7" w:rsidRDefault="009305B7" w:rsidP="00640747">
            <w:pPr>
              <w:pStyle w:val="ac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9305B7">
              <w:rPr>
                <w:lang w:val="ru-RU"/>
              </w:rPr>
              <w:t>____________________</w:t>
            </w:r>
          </w:p>
          <w:p w:rsidR="009305B7" w:rsidRPr="009305B7" w:rsidRDefault="009305B7" w:rsidP="00640747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9305B7">
              <w:rPr>
                <w:lang w:val="ru-RU"/>
              </w:rPr>
              <w:t xml:space="preserve">             Личная подпись</w:t>
            </w:r>
          </w:p>
        </w:tc>
      </w:tr>
    </w:tbl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ru-RU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ru-RU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ru-RU"/>
        </w:rPr>
      </w:pP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lang w:val="ru-RU"/>
        </w:rPr>
      </w:pPr>
      <w:proofErr w:type="spellStart"/>
      <w:r w:rsidRPr="009305B7">
        <w:rPr>
          <w:lang w:val="ru-RU"/>
        </w:rPr>
        <w:t>Кишинэу</w:t>
      </w:r>
      <w:proofErr w:type="spellEnd"/>
      <w:r w:rsidRPr="009305B7">
        <w:rPr>
          <w:lang w:val="ru-RU"/>
        </w:rPr>
        <w:t>, _____</w:t>
      </w: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9305B7">
        <w:rPr>
          <w:lang w:val="ru-RU"/>
        </w:rPr>
        <w:t>Содержание</w:t>
      </w:r>
      <w:r w:rsidRPr="009305B7">
        <w:t>:</w:t>
      </w:r>
    </w:p>
    <w:p w:rsidR="009305B7" w:rsidRPr="009305B7" w:rsidRDefault="009305B7" w:rsidP="009305B7">
      <w:pPr>
        <w:pStyle w:val="ac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ru-RU"/>
        </w:rPr>
      </w:pPr>
    </w:p>
    <w:p w:rsidR="009305B7" w:rsidRPr="009305B7" w:rsidRDefault="009305B7" w:rsidP="009305B7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Введение</w:t>
      </w:r>
    </w:p>
    <w:p w:rsidR="009305B7" w:rsidRPr="009305B7" w:rsidRDefault="009305B7" w:rsidP="009305B7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Использованные данные</w:t>
      </w:r>
    </w:p>
    <w:p w:rsidR="009305B7" w:rsidRPr="009305B7" w:rsidRDefault="009305B7" w:rsidP="009305B7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Технические резервы</w:t>
      </w:r>
    </w:p>
    <w:p w:rsidR="009305B7" w:rsidRPr="009305B7" w:rsidRDefault="009305B7" w:rsidP="009305B7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Активы</w:t>
      </w:r>
    </w:p>
    <w:p w:rsidR="009305B7" w:rsidRPr="009305B7" w:rsidRDefault="009305B7" w:rsidP="009305B7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Платежеспособность и ликвидность</w:t>
      </w:r>
    </w:p>
    <w:p w:rsidR="009305B7" w:rsidRPr="009305B7" w:rsidRDefault="009305B7" w:rsidP="009305B7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Страховые премии</w:t>
      </w:r>
    </w:p>
    <w:p w:rsidR="009305B7" w:rsidRPr="009305B7" w:rsidRDefault="009305B7" w:rsidP="009305B7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Управление рисками</w:t>
      </w:r>
    </w:p>
    <w:p w:rsidR="009305B7" w:rsidRPr="009305B7" w:rsidRDefault="009305B7" w:rsidP="009305B7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both"/>
        <w:rPr>
          <w:szCs w:val="24"/>
          <w:lang w:val="ru-RU"/>
        </w:rPr>
      </w:pPr>
      <w:r w:rsidRPr="009305B7">
        <w:rPr>
          <w:szCs w:val="24"/>
          <w:lang w:val="ru-RU"/>
        </w:rPr>
        <w:t>Результаты</w:t>
      </w:r>
    </w:p>
    <w:p w:rsidR="009305B7" w:rsidRPr="009305B7" w:rsidRDefault="009305B7" w:rsidP="009305B7">
      <w:pPr>
        <w:tabs>
          <w:tab w:val="left" w:pos="284"/>
        </w:tabs>
        <w:jc w:val="both"/>
        <w:rPr>
          <w:b/>
          <w:szCs w:val="24"/>
          <w:lang w:val="ru-RU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b/>
          <w:szCs w:val="24"/>
          <w:lang w:val="ru-RU"/>
        </w:rPr>
      </w:pPr>
    </w:p>
    <w:p w:rsidR="009305B7" w:rsidRPr="009305B7" w:rsidRDefault="009305B7" w:rsidP="009305B7">
      <w:pPr>
        <w:tabs>
          <w:tab w:val="left" w:pos="284"/>
        </w:tabs>
        <w:jc w:val="both"/>
        <w:rPr>
          <w:b/>
          <w:szCs w:val="24"/>
          <w:lang w:val="ru-RU"/>
        </w:rPr>
      </w:pPr>
    </w:p>
    <w:p w:rsidR="009305B7" w:rsidRPr="009305B7" w:rsidRDefault="009305B7" w:rsidP="009305B7">
      <w:pPr>
        <w:jc w:val="both"/>
        <w:rPr>
          <w:b/>
          <w:szCs w:val="24"/>
          <w:lang w:val="ru-RU"/>
        </w:rPr>
      </w:pPr>
    </w:p>
    <w:bookmarkEnd w:id="0"/>
    <w:p w:rsidR="009305B7" w:rsidRPr="009305B7" w:rsidRDefault="009305B7">
      <w:pPr>
        <w:rPr>
          <w:szCs w:val="24"/>
        </w:rPr>
      </w:pPr>
    </w:p>
    <w:sectPr w:rsidR="009305B7" w:rsidRPr="009305B7" w:rsidSect="00690BF0">
      <w:footerReference w:type="default" r:id="rId6"/>
      <w:pgSz w:w="11907" w:h="16839" w:code="9"/>
      <w:pgMar w:top="567" w:right="1134" w:bottom="426" w:left="1701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45" w:rsidRPr="00883564" w:rsidRDefault="009305B7" w:rsidP="00690BF0">
    <w:pPr>
      <w:pStyle w:val="Footer"/>
      <w:ind w:left="-426" w:right="-285"/>
      <w:jc w:val="center"/>
      <w:rPr>
        <w:lang w:val="en-US"/>
      </w:rPr>
    </w:pPr>
  </w:p>
  <w:p w:rsidR="00A13145" w:rsidRPr="00690BF0" w:rsidRDefault="009305B7">
    <w:pPr>
      <w:pStyle w:val="Footer"/>
      <w:jc w:val="right"/>
      <w:rPr>
        <w:lang w:val="en-US"/>
      </w:rPr>
    </w:pPr>
  </w:p>
  <w:p w:rsidR="00A13145" w:rsidRDefault="009305B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43C"/>
    <w:multiLevelType w:val="hybridMultilevel"/>
    <w:tmpl w:val="38C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D5159"/>
    <w:multiLevelType w:val="hybridMultilevel"/>
    <w:tmpl w:val="6AFE1D3A"/>
    <w:lvl w:ilvl="0" w:tplc="8E607D7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B37942"/>
    <w:multiLevelType w:val="hybridMultilevel"/>
    <w:tmpl w:val="1960B986"/>
    <w:lvl w:ilvl="0" w:tplc="7172C0B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16534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70C2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90BCF1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13926"/>
    <w:multiLevelType w:val="hybridMultilevel"/>
    <w:tmpl w:val="24CCF998"/>
    <w:lvl w:ilvl="0" w:tplc="D90C2A9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5291F2F"/>
    <w:multiLevelType w:val="hybridMultilevel"/>
    <w:tmpl w:val="308611E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6C433C0"/>
    <w:multiLevelType w:val="hybridMultilevel"/>
    <w:tmpl w:val="1E96B9F8"/>
    <w:lvl w:ilvl="0" w:tplc="D9703EE0">
      <w:start w:val="1"/>
      <w:numFmt w:val="lowerLetter"/>
      <w:lvlText w:val="%1)"/>
      <w:lvlJc w:val="left"/>
      <w:pPr>
        <w:ind w:left="17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ind w:left="3953" w:hanging="360"/>
      </w:pPr>
    </w:lvl>
    <w:lvl w:ilvl="4" w:tplc="04190019">
      <w:start w:val="1"/>
      <w:numFmt w:val="lowerLetter"/>
      <w:lvlText w:val="%5."/>
      <w:lvlJc w:val="left"/>
      <w:pPr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6">
    <w:nsid w:val="7ADF139A"/>
    <w:multiLevelType w:val="hybridMultilevel"/>
    <w:tmpl w:val="36302A00"/>
    <w:lvl w:ilvl="0" w:tplc="AF1A1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A749A"/>
    <w:multiLevelType w:val="hybridMultilevel"/>
    <w:tmpl w:val="4D88BFB0"/>
    <w:lvl w:ilvl="0" w:tplc="FBFE025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757869"/>
    <w:multiLevelType w:val="hybridMultilevel"/>
    <w:tmpl w:val="36302A00"/>
    <w:lvl w:ilvl="0" w:tplc="AF1A1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7"/>
    <w:rsid w:val="009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9305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305B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ro-RO" w:eastAsia="ru-RU"/>
    </w:rPr>
  </w:style>
  <w:style w:type="paragraph" w:styleId="BodyText3">
    <w:name w:val="Body Text 3"/>
    <w:basedOn w:val="Normal"/>
    <w:link w:val="BodyText3Char"/>
    <w:rsid w:val="009305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5B7"/>
    <w:rPr>
      <w:rFonts w:ascii="Times New Roman" w:eastAsia="Times New Roman" w:hAnsi="Times New Roman" w:cs="Times New Roman"/>
      <w:sz w:val="16"/>
      <w:szCs w:val="16"/>
      <w:lang w:val="ro-RO" w:eastAsia="ru-RU"/>
    </w:rPr>
  </w:style>
  <w:style w:type="paragraph" w:styleId="PlainText">
    <w:name w:val="Plain Text"/>
    <w:basedOn w:val="Normal"/>
    <w:link w:val="PlainTextChar"/>
    <w:rsid w:val="009305B7"/>
    <w:pPr>
      <w:autoSpaceDE w:val="0"/>
      <w:autoSpaceDN w:val="0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30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305B7"/>
    <w:pPr>
      <w:ind w:left="720"/>
      <w:contextualSpacing/>
    </w:pPr>
  </w:style>
  <w:style w:type="paragraph" w:customStyle="1" w:styleId="ac">
    <w:name w:val="a_c"/>
    <w:basedOn w:val="Normal"/>
    <w:rsid w:val="009305B7"/>
    <w:pPr>
      <w:spacing w:before="100" w:beforeAutospacing="1" w:after="100" w:afterAutospacing="1"/>
    </w:pPr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05B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5B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5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5B7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Heading4">
    <w:name w:val="heading 4"/>
    <w:basedOn w:val="Normal"/>
    <w:next w:val="Normal"/>
    <w:link w:val="Heading4Char"/>
    <w:unhideWhenUsed/>
    <w:qFormat/>
    <w:rsid w:val="009305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305B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ro-RO" w:eastAsia="ru-RU"/>
    </w:rPr>
  </w:style>
  <w:style w:type="paragraph" w:styleId="BodyText3">
    <w:name w:val="Body Text 3"/>
    <w:basedOn w:val="Normal"/>
    <w:link w:val="BodyText3Char"/>
    <w:rsid w:val="009305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5B7"/>
    <w:rPr>
      <w:rFonts w:ascii="Times New Roman" w:eastAsia="Times New Roman" w:hAnsi="Times New Roman" w:cs="Times New Roman"/>
      <w:sz w:val="16"/>
      <w:szCs w:val="16"/>
      <w:lang w:val="ro-RO" w:eastAsia="ru-RU"/>
    </w:rPr>
  </w:style>
  <w:style w:type="paragraph" w:styleId="PlainText">
    <w:name w:val="Plain Text"/>
    <w:basedOn w:val="Normal"/>
    <w:link w:val="PlainTextChar"/>
    <w:rsid w:val="009305B7"/>
    <w:pPr>
      <w:autoSpaceDE w:val="0"/>
      <w:autoSpaceDN w:val="0"/>
    </w:pPr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30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305B7"/>
    <w:pPr>
      <w:ind w:left="720"/>
      <w:contextualSpacing/>
    </w:pPr>
  </w:style>
  <w:style w:type="paragraph" w:customStyle="1" w:styleId="ac">
    <w:name w:val="a_c"/>
    <w:basedOn w:val="Normal"/>
    <w:rsid w:val="009305B7"/>
    <w:pPr>
      <w:spacing w:before="100" w:beforeAutospacing="1" w:after="100" w:afterAutospacing="1"/>
    </w:pPr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05B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5B7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5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5B7"/>
    <w:rPr>
      <w:rFonts w:ascii="Times New Roman" w:eastAsia="Times New Roman" w:hAnsi="Times New Roman" w:cs="Times New Roman"/>
      <w:sz w:val="24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2727</Words>
  <Characters>15547</Characters>
  <Application>Microsoft Office Word</Application>
  <DocSecurity>0</DocSecurity>
  <Lines>129</Lines>
  <Paragraphs>36</Paragraphs>
  <ScaleCrop>false</ScaleCrop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2019-01-03T08:47:00Z</dcterms:created>
  <dcterms:modified xsi:type="dcterms:W3CDTF">2019-01-03T08:49:00Z</dcterms:modified>
</cp:coreProperties>
</file>