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F3" w:rsidRPr="007D5559" w:rsidRDefault="004637F3" w:rsidP="004637F3">
      <w:pPr>
        <w:tabs>
          <w:tab w:val="left" w:pos="993"/>
        </w:tabs>
        <w:spacing w:after="160"/>
        <w:ind w:left="3600" w:firstLine="709"/>
        <w:contextualSpacing/>
        <w:jc w:val="right"/>
        <w:rPr>
          <w:sz w:val="28"/>
          <w:szCs w:val="28"/>
          <w:lang w:val="ro-RO"/>
        </w:rPr>
      </w:pPr>
      <w:r w:rsidRPr="007D5559">
        <w:rPr>
          <w:sz w:val="28"/>
          <w:szCs w:val="28"/>
          <w:lang w:val="ro-RO"/>
        </w:rPr>
        <w:t>Anexa nr. 2</w:t>
      </w:r>
    </w:p>
    <w:p w:rsidR="004637F3" w:rsidRPr="007D5559" w:rsidRDefault="004637F3" w:rsidP="004637F3">
      <w:pPr>
        <w:tabs>
          <w:tab w:val="left" w:pos="993"/>
        </w:tabs>
        <w:spacing w:after="160"/>
        <w:ind w:left="3600" w:firstLine="709"/>
        <w:contextualSpacing/>
        <w:jc w:val="right"/>
        <w:rPr>
          <w:sz w:val="28"/>
          <w:szCs w:val="28"/>
          <w:lang w:val="ro-RO"/>
        </w:rPr>
      </w:pPr>
      <w:r w:rsidRPr="007D5559">
        <w:rPr>
          <w:sz w:val="28"/>
          <w:szCs w:val="28"/>
          <w:lang w:val="ro-RO"/>
        </w:rPr>
        <w:t>la Regulamentul sanitar privind</w:t>
      </w:r>
    </w:p>
    <w:p w:rsidR="004637F3" w:rsidRPr="007D5559" w:rsidRDefault="004637F3" w:rsidP="004637F3">
      <w:pPr>
        <w:tabs>
          <w:tab w:val="left" w:pos="993"/>
        </w:tabs>
        <w:spacing w:after="160"/>
        <w:ind w:left="3600" w:firstLine="709"/>
        <w:contextualSpacing/>
        <w:jc w:val="right"/>
        <w:rPr>
          <w:sz w:val="28"/>
          <w:szCs w:val="28"/>
          <w:lang w:val="ro-RO"/>
        </w:rPr>
      </w:pPr>
      <w:r w:rsidRPr="007D5559">
        <w:rPr>
          <w:sz w:val="28"/>
          <w:szCs w:val="28"/>
          <w:lang w:val="ro-RO"/>
        </w:rPr>
        <w:t>contaminan</w:t>
      </w:r>
      <w:r>
        <w:rPr>
          <w:sz w:val="28"/>
          <w:szCs w:val="28"/>
          <w:lang w:val="ro-RO"/>
        </w:rPr>
        <w:t>ț</w:t>
      </w:r>
      <w:r w:rsidRPr="007D5559">
        <w:rPr>
          <w:sz w:val="28"/>
          <w:szCs w:val="28"/>
          <w:lang w:val="ro-RO"/>
        </w:rPr>
        <w:t>ii din produsele alimentare</w:t>
      </w:r>
    </w:p>
    <w:p w:rsidR="004637F3" w:rsidRPr="007D5559" w:rsidRDefault="004637F3" w:rsidP="004637F3">
      <w:pPr>
        <w:tabs>
          <w:tab w:val="left" w:pos="993"/>
        </w:tabs>
        <w:spacing w:after="160"/>
        <w:ind w:firstLine="709"/>
        <w:contextualSpacing/>
        <w:jc w:val="center"/>
        <w:rPr>
          <w:b/>
          <w:sz w:val="28"/>
          <w:szCs w:val="28"/>
          <w:lang w:val="ro-RO"/>
        </w:rPr>
      </w:pPr>
    </w:p>
    <w:p w:rsidR="004637F3" w:rsidRPr="007D5559" w:rsidRDefault="004637F3" w:rsidP="004637F3">
      <w:pPr>
        <w:tabs>
          <w:tab w:val="left" w:pos="993"/>
        </w:tabs>
        <w:ind w:firstLine="0"/>
        <w:jc w:val="center"/>
        <w:rPr>
          <w:b/>
          <w:sz w:val="28"/>
          <w:szCs w:val="28"/>
          <w:lang w:val="ro-RO" w:eastAsia="ru-RU"/>
        </w:rPr>
      </w:pPr>
      <w:r w:rsidRPr="007D5559">
        <w:rPr>
          <w:b/>
          <w:sz w:val="28"/>
          <w:szCs w:val="28"/>
          <w:lang w:val="ro-RO" w:eastAsia="ru-RU"/>
        </w:rPr>
        <w:t xml:space="preserve">NIVELURILE MAXIME </w:t>
      </w:r>
    </w:p>
    <w:p w:rsidR="004637F3" w:rsidRPr="007D5559" w:rsidRDefault="004637F3" w:rsidP="004637F3">
      <w:pPr>
        <w:tabs>
          <w:tab w:val="left" w:pos="993"/>
        </w:tabs>
        <w:ind w:firstLine="0"/>
        <w:jc w:val="center"/>
        <w:rPr>
          <w:b/>
          <w:sz w:val="28"/>
          <w:szCs w:val="28"/>
          <w:lang w:val="ro-RO" w:eastAsia="ru-RU"/>
        </w:rPr>
      </w:pPr>
      <w:r w:rsidRPr="007D5559">
        <w:rPr>
          <w:b/>
          <w:sz w:val="28"/>
          <w:szCs w:val="28"/>
          <w:lang w:val="ro-RO" w:eastAsia="ru-RU"/>
        </w:rPr>
        <w:t>a</w:t>
      </w:r>
      <w:r>
        <w:rPr>
          <w:b/>
          <w:sz w:val="28"/>
          <w:szCs w:val="28"/>
          <w:lang w:val="ro-RO" w:eastAsia="ru-RU"/>
        </w:rPr>
        <w:t>le</w:t>
      </w:r>
      <w:r w:rsidRPr="007D5559">
        <w:rPr>
          <w:b/>
          <w:sz w:val="28"/>
          <w:szCs w:val="28"/>
          <w:lang w:val="ro-RO" w:eastAsia="ru-RU"/>
        </w:rPr>
        <w:t xml:space="preserve"> contaminan</w:t>
      </w:r>
      <w:r>
        <w:rPr>
          <w:b/>
          <w:sz w:val="28"/>
          <w:szCs w:val="28"/>
          <w:lang w:val="ro-RO" w:eastAsia="ru-RU"/>
        </w:rPr>
        <w:t>ț</w:t>
      </w:r>
      <w:r w:rsidRPr="007D5559">
        <w:rPr>
          <w:b/>
          <w:sz w:val="28"/>
          <w:szCs w:val="28"/>
          <w:lang w:val="ro-RO" w:eastAsia="ru-RU"/>
        </w:rPr>
        <w:t xml:space="preserve">ilor </w:t>
      </w:r>
      <w:r w:rsidRPr="007D5559">
        <w:rPr>
          <w:b/>
          <w:sz w:val="28"/>
          <w:szCs w:val="28"/>
          <w:lang w:val="ro-RO"/>
        </w:rPr>
        <w:t xml:space="preserve">din produsele alimentare </w:t>
      </w:r>
      <w:r>
        <w:rPr>
          <w:b/>
          <w:sz w:val="28"/>
          <w:szCs w:val="28"/>
          <w:lang w:val="ro-RO"/>
        </w:rPr>
        <w:t>ș</w:t>
      </w:r>
      <w:r w:rsidRPr="007D5559">
        <w:rPr>
          <w:b/>
          <w:sz w:val="28"/>
          <w:szCs w:val="28"/>
          <w:lang w:val="ro-RO"/>
        </w:rPr>
        <w:t>i hrana pentru animale</w:t>
      </w:r>
    </w:p>
    <w:p w:rsidR="004637F3" w:rsidRPr="007D5559" w:rsidRDefault="004637F3" w:rsidP="004637F3">
      <w:pPr>
        <w:tabs>
          <w:tab w:val="left" w:pos="993"/>
        </w:tabs>
        <w:ind w:firstLine="0"/>
        <w:jc w:val="center"/>
        <w:rPr>
          <w:b/>
          <w:sz w:val="28"/>
          <w:szCs w:val="28"/>
          <w:lang w:val="ro-RO"/>
        </w:rPr>
      </w:pPr>
    </w:p>
    <w:p w:rsidR="004637F3" w:rsidRPr="007D5559" w:rsidRDefault="004637F3" w:rsidP="004637F3">
      <w:pPr>
        <w:tabs>
          <w:tab w:val="left" w:pos="993"/>
        </w:tabs>
        <w:spacing w:after="160"/>
        <w:ind w:firstLine="0"/>
        <w:contextualSpacing/>
        <w:jc w:val="center"/>
        <w:rPr>
          <w:b/>
          <w:sz w:val="28"/>
          <w:szCs w:val="28"/>
          <w:lang w:val="ro-RO"/>
        </w:rPr>
      </w:pPr>
      <w:r w:rsidRPr="007D5559">
        <w:rPr>
          <w:b/>
          <w:sz w:val="28"/>
          <w:szCs w:val="28"/>
          <w:lang w:val="ro-RO" w:eastAsia="ru-RU"/>
        </w:rPr>
        <w:t>I. Dioxine, furani</w:t>
      </w:r>
      <w:r>
        <w:rPr>
          <w:b/>
          <w:sz w:val="28"/>
          <w:szCs w:val="28"/>
          <w:lang w:val="ro-RO" w:eastAsia="ru-RU"/>
        </w:rPr>
        <w:t>ș</w:t>
      </w:r>
      <w:r w:rsidRPr="007D5559">
        <w:rPr>
          <w:b/>
          <w:sz w:val="28"/>
          <w:szCs w:val="28"/>
          <w:lang w:val="ro-RO" w:eastAsia="ru-RU"/>
        </w:rPr>
        <w:t>i bifenilipoliclorura</w:t>
      </w:r>
      <w:r>
        <w:rPr>
          <w:b/>
          <w:sz w:val="28"/>
          <w:szCs w:val="28"/>
          <w:lang w:val="ro-RO" w:eastAsia="ru-RU"/>
        </w:rPr>
        <w:t>ț</w:t>
      </w:r>
      <w:r w:rsidRPr="007D5559">
        <w:rPr>
          <w:b/>
          <w:sz w:val="28"/>
          <w:szCs w:val="28"/>
          <w:lang w:val="ro-RO" w:eastAsia="ru-RU"/>
        </w:rPr>
        <w:t>i</w:t>
      </w:r>
    </w:p>
    <w:p w:rsidR="004637F3" w:rsidRPr="007D5559" w:rsidRDefault="004637F3" w:rsidP="004637F3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645"/>
        <w:gridCol w:w="2376"/>
        <w:gridCol w:w="2449"/>
      </w:tblGrid>
      <w:tr w:rsidR="004637F3" w:rsidRPr="00193BBD" w:rsidTr="000F0DEC">
        <w:trPr>
          <w:trHeight w:val="587"/>
        </w:trPr>
        <w:tc>
          <w:tcPr>
            <w:tcW w:w="313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017" w:type="pct"/>
            <w:vAlign w:val="center"/>
          </w:tcPr>
          <w:p w:rsidR="004637F3" w:rsidRPr="007D5559" w:rsidRDefault="004637F3" w:rsidP="000F0DEC">
            <w:pPr>
              <w:tabs>
                <w:tab w:val="left" w:pos="3969"/>
              </w:tabs>
              <w:ind w:firstLine="0"/>
              <w:jc w:val="center"/>
              <w:rPr>
                <w:rFonts w:asciiTheme="majorBidi" w:eastAsia="PMingLiU" w:hAnsiTheme="majorBidi" w:cstheme="majorBidi"/>
                <w:b/>
                <w:w w:val="110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w w:val="110"/>
                <w:sz w:val="24"/>
                <w:szCs w:val="24"/>
                <w:lang w:val="ro-RO"/>
              </w:rPr>
              <w:t>Denumirea</w:t>
            </w:r>
          </w:p>
          <w:p w:rsidR="004637F3" w:rsidRPr="007D5559" w:rsidRDefault="004637F3" w:rsidP="000F0DEC">
            <w:pPr>
              <w:tabs>
                <w:tab w:val="left" w:pos="3969"/>
              </w:tabs>
              <w:ind w:firstLine="0"/>
              <w:jc w:val="center"/>
              <w:rPr>
                <w:rFonts w:asciiTheme="majorBidi" w:eastAsia="PMingLiU" w:hAnsiTheme="majorBidi" w:cstheme="majorBidi"/>
                <w:b/>
                <w:w w:val="110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w w:val="110"/>
                <w:sz w:val="24"/>
                <w:szCs w:val="24"/>
                <w:lang w:val="ro-RO"/>
              </w:rPr>
              <w:t>produselor alimentare</w:t>
            </w:r>
          </w:p>
        </w:tc>
        <w:tc>
          <w:tcPr>
            <w:tcW w:w="1315" w:type="pct"/>
            <w:vAlign w:val="center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b/>
                <w:w w:val="105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w w:val="105"/>
                <w:sz w:val="24"/>
                <w:szCs w:val="24"/>
                <w:lang w:val="ro-RO"/>
              </w:rPr>
              <w:t>Nivelul maxim pentru dioxine + furani</w:t>
            </w:r>
          </w:p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w w:val="105"/>
                <w:sz w:val="24"/>
                <w:szCs w:val="24"/>
                <w:lang w:val="ro-RO"/>
              </w:rPr>
              <w:t xml:space="preserve">(OMS-TEQ) </w:t>
            </w:r>
            <w:r w:rsidRPr="00D878F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ro-RO"/>
              </w:rPr>
              <w:t>(1)</w:t>
            </w:r>
          </w:p>
        </w:tc>
        <w:tc>
          <w:tcPr>
            <w:tcW w:w="1355" w:type="pct"/>
            <w:vAlign w:val="center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w w:val="105"/>
                <w:sz w:val="24"/>
                <w:szCs w:val="24"/>
                <w:lang w:val="ro-RO"/>
              </w:rPr>
              <w:t xml:space="preserve">Nivelul maxim pentru PCB de tipul dioxinei (OMS-TEQ) </w:t>
            </w:r>
            <w:r w:rsidRPr="00D878F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ro-RO"/>
              </w:rPr>
              <w:t>(1)</w:t>
            </w:r>
          </w:p>
        </w:tc>
      </w:tr>
      <w:tr w:rsidR="004637F3" w:rsidRPr="00193BBD" w:rsidTr="000F0DEC">
        <w:trPr>
          <w:trHeight w:val="538"/>
        </w:trPr>
        <w:tc>
          <w:tcPr>
            <w:tcW w:w="313" w:type="pct"/>
            <w:vMerge w:val="restar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1.</w:t>
            </w:r>
          </w:p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4687" w:type="pct"/>
            <w:gridSpan w:val="3"/>
          </w:tcPr>
          <w:p w:rsidR="004637F3" w:rsidRPr="007D5559" w:rsidRDefault="004637F3" w:rsidP="000F0DEC">
            <w:pPr>
              <w:ind w:firstLine="0"/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 xml:space="preserve">Carne </w:t>
            </w:r>
            <w:r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ș</w:t>
            </w: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i produse din carne (cu excep</w:t>
            </w:r>
            <w:r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ț</w:t>
            </w: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ia organelor comestibile)</w:t>
            </w:r>
            <w:r w:rsidRPr="00D878F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ro-RO"/>
              </w:rPr>
              <w:t>(2)</w:t>
            </w:r>
            <w:r w:rsidRPr="00D878F9">
              <w:rPr>
                <w:rFonts w:asciiTheme="majorBidi" w:eastAsia="PMingLiU" w:hAnsiTheme="majorBidi" w:cstheme="majorBidi"/>
                <w:b/>
                <w:bCs/>
                <w:sz w:val="24"/>
                <w:szCs w:val="24"/>
                <w:lang w:val="ro-RO"/>
              </w:rPr>
              <w:t>,</w:t>
            </w: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provenind de la următoarele animale:</w:t>
            </w:r>
          </w:p>
        </w:tc>
      </w:tr>
      <w:tr w:rsidR="004637F3" w:rsidRPr="007D5559" w:rsidTr="000F0DEC">
        <w:trPr>
          <w:trHeight w:val="372"/>
        </w:trPr>
        <w:tc>
          <w:tcPr>
            <w:tcW w:w="313" w:type="pct"/>
            <w:vMerge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2017" w:type="pct"/>
          </w:tcPr>
          <w:p w:rsidR="004637F3" w:rsidRPr="007D5559" w:rsidRDefault="004637F3" w:rsidP="000F0DEC">
            <w:pPr>
              <w:ind w:firstLine="0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bovine </w:t>
            </w:r>
            <w:r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ș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i ovine</w:t>
            </w:r>
          </w:p>
        </w:tc>
        <w:tc>
          <w:tcPr>
            <w:tcW w:w="131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1,75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  <w:tc>
          <w:tcPr>
            <w:tcW w:w="135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1,75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</w:tr>
      <w:tr w:rsidR="004637F3" w:rsidRPr="007D5559" w:rsidTr="000F0DEC">
        <w:trPr>
          <w:trHeight w:val="373"/>
        </w:trPr>
        <w:tc>
          <w:tcPr>
            <w:tcW w:w="313" w:type="pct"/>
            <w:vMerge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2017" w:type="pct"/>
          </w:tcPr>
          <w:p w:rsidR="004637F3" w:rsidRPr="007D5559" w:rsidRDefault="004637F3" w:rsidP="000F0DEC">
            <w:pPr>
              <w:ind w:firstLine="0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păsări de curte</w:t>
            </w:r>
          </w:p>
        </w:tc>
        <w:tc>
          <w:tcPr>
            <w:tcW w:w="131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1,25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  <w:tc>
          <w:tcPr>
            <w:tcW w:w="135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0,75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</w:tr>
      <w:tr w:rsidR="004637F3" w:rsidRPr="007D5559" w:rsidTr="000F0DEC">
        <w:trPr>
          <w:trHeight w:val="373"/>
        </w:trPr>
        <w:tc>
          <w:tcPr>
            <w:tcW w:w="313" w:type="pct"/>
            <w:vMerge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2017" w:type="pct"/>
          </w:tcPr>
          <w:p w:rsidR="004637F3" w:rsidRPr="007D5559" w:rsidRDefault="004637F3" w:rsidP="000F0DEC">
            <w:pPr>
              <w:ind w:firstLine="0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porcine</w:t>
            </w:r>
          </w:p>
        </w:tc>
        <w:tc>
          <w:tcPr>
            <w:tcW w:w="131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0,75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  <w:tc>
          <w:tcPr>
            <w:tcW w:w="135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0,50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</w:tr>
      <w:tr w:rsidR="004637F3" w:rsidRPr="007D5559" w:rsidTr="000F0DEC">
        <w:trPr>
          <w:trHeight w:val="382"/>
        </w:trPr>
        <w:tc>
          <w:tcPr>
            <w:tcW w:w="313" w:type="pct"/>
            <w:vMerge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2017" w:type="pct"/>
          </w:tcPr>
          <w:p w:rsidR="004637F3" w:rsidRPr="007D5559" w:rsidRDefault="004637F3" w:rsidP="000F0DEC">
            <w:pPr>
              <w:ind w:firstLine="0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B153A7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Grăsimi amestecate</w:t>
            </w:r>
          </w:p>
        </w:tc>
        <w:tc>
          <w:tcPr>
            <w:tcW w:w="131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1,00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  <w:tc>
          <w:tcPr>
            <w:tcW w:w="135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0,75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</w:tr>
      <w:tr w:rsidR="004637F3" w:rsidRPr="007D5559" w:rsidTr="000F0DEC">
        <w:trPr>
          <w:trHeight w:val="548"/>
        </w:trPr>
        <w:tc>
          <w:tcPr>
            <w:tcW w:w="313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2.</w:t>
            </w:r>
          </w:p>
        </w:tc>
        <w:tc>
          <w:tcPr>
            <w:tcW w:w="2017" w:type="pct"/>
          </w:tcPr>
          <w:p w:rsidR="004637F3" w:rsidRPr="007D5559" w:rsidRDefault="004637F3" w:rsidP="000F0DEC">
            <w:pPr>
              <w:ind w:firstLine="0"/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Mu</w:t>
            </w:r>
            <w:r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ș</w:t>
            </w: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chi de pe</w:t>
            </w:r>
            <w:r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ș</w:t>
            </w: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 xml:space="preserve">te de crescătorie </w:t>
            </w:r>
            <w:r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ș</w:t>
            </w: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i produse de piscicultură</w:t>
            </w:r>
          </w:p>
        </w:tc>
        <w:tc>
          <w:tcPr>
            <w:tcW w:w="131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w w:val="105"/>
                <w:sz w:val="24"/>
                <w:szCs w:val="24"/>
                <w:lang w:val="ro-RO"/>
              </w:rPr>
              <w:t>1,50 pg/g greutate umedă</w:t>
            </w:r>
          </w:p>
        </w:tc>
        <w:tc>
          <w:tcPr>
            <w:tcW w:w="135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w w:val="105"/>
                <w:sz w:val="24"/>
                <w:szCs w:val="24"/>
                <w:lang w:val="ro-RO"/>
              </w:rPr>
              <w:t>2,50 pg/g greutate umedă</w:t>
            </w:r>
          </w:p>
        </w:tc>
      </w:tr>
      <w:tr w:rsidR="004637F3" w:rsidRPr="007D5559" w:rsidTr="000F0DEC">
        <w:trPr>
          <w:trHeight w:val="548"/>
        </w:trPr>
        <w:tc>
          <w:tcPr>
            <w:tcW w:w="313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3.</w:t>
            </w:r>
          </w:p>
        </w:tc>
        <w:tc>
          <w:tcPr>
            <w:tcW w:w="2017" w:type="pct"/>
          </w:tcPr>
          <w:p w:rsidR="004637F3" w:rsidRPr="007D5559" w:rsidRDefault="004637F3" w:rsidP="000F0DEC">
            <w:pPr>
              <w:ind w:firstLine="0"/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Lapte crud</w:t>
            </w:r>
            <w:r w:rsidRPr="00D878F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ro-RO"/>
              </w:rPr>
              <w:t>(2)</w:t>
            </w:r>
            <w:r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ș</w:t>
            </w: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i produse lactate</w:t>
            </w:r>
            <w:r w:rsidRPr="00D878F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ro-RO"/>
              </w:rPr>
              <w:t>(2)</w:t>
            </w:r>
            <w:r w:rsidRPr="00D878F9">
              <w:rPr>
                <w:rFonts w:asciiTheme="majorBidi" w:eastAsia="PMingLiU" w:hAnsiTheme="majorBidi" w:cstheme="majorBidi"/>
                <w:b/>
                <w:bCs/>
                <w:sz w:val="24"/>
                <w:szCs w:val="24"/>
                <w:lang w:val="ro-RO"/>
              </w:rPr>
              <w:t>,</w:t>
            </w: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 xml:space="preserve"> inclusiv grăsimile din unt</w:t>
            </w:r>
          </w:p>
        </w:tc>
        <w:tc>
          <w:tcPr>
            <w:tcW w:w="131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1,75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  <w:tc>
          <w:tcPr>
            <w:tcW w:w="135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2,00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</w:tr>
      <w:tr w:rsidR="004637F3" w:rsidRPr="007D5559" w:rsidTr="000F0DEC">
        <w:trPr>
          <w:trHeight w:val="371"/>
        </w:trPr>
        <w:tc>
          <w:tcPr>
            <w:tcW w:w="313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4.</w:t>
            </w:r>
          </w:p>
        </w:tc>
        <w:tc>
          <w:tcPr>
            <w:tcW w:w="2017" w:type="pct"/>
          </w:tcPr>
          <w:p w:rsidR="004637F3" w:rsidRPr="007D5559" w:rsidRDefault="004637F3" w:rsidP="000F0DEC">
            <w:pPr>
              <w:ind w:firstLine="0"/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 xml:space="preserve">Ouă de găină </w:t>
            </w:r>
            <w:r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ș</w:t>
            </w: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i produse din ouă</w:t>
            </w:r>
            <w:r w:rsidRPr="00D878F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ro-RO"/>
              </w:rPr>
              <w:t>(2)</w:t>
            </w:r>
          </w:p>
        </w:tc>
        <w:tc>
          <w:tcPr>
            <w:tcW w:w="131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1,75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  <w:tc>
          <w:tcPr>
            <w:tcW w:w="135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 xml:space="preserve">1,75 pg/g grăsime 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rFonts w:asciiTheme="majorBidi" w:eastAsia="PMingLiU" w:hAnsiTheme="majorBidi" w:cstheme="majorBidi"/>
                <w:position w:val="5"/>
                <w:sz w:val="24"/>
                <w:szCs w:val="24"/>
                <w:vertAlign w:val="subscript"/>
                <w:lang w:val="ro-RO"/>
              </w:rPr>
              <w:t>3</w:t>
            </w:r>
            <w:r w:rsidRPr="007D5559"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  <w:t>)</w:t>
            </w:r>
          </w:p>
        </w:tc>
      </w:tr>
      <w:tr w:rsidR="004637F3" w:rsidRPr="007D5559" w:rsidTr="000F0DEC">
        <w:trPr>
          <w:trHeight w:val="371"/>
        </w:trPr>
        <w:tc>
          <w:tcPr>
            <w:tcW w:w="313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5.</w:t>
            </w:r>
          </w:p>
        </w:tc>
        <w:tc>
          <w:tcPr>
            <w:tcW w:w="2017" w:type="pct"/>
          </w:tcPr>
          <w:p w:rsidR="004637F3" w:rsidRPr="007D5559" w:rsidRDefault="004637F3" w:rsidP="000F0DEC">
            <w:pPr>
              <w:ind w:firstLine="0"/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Argile folosite ca supliment alimentar</w:t>
            </w:r>
          </w:p>
        </w:tc>
        <w:tc>
          <w:tcPr>
            <w:tcW w:w="131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w w:val="105"/>
                <w:sz w:val="24"/>
                <w:szCs w:val="24"/>
                <w:lang w:val="ro-RO"/>
              </w:rPr>
              <w:t>0,50 pg/g greutate umedă</w:t>
            </w:r>
          </w:p>
        </w:tc>
        <w:tc>
          <w:tcPr>
            <w:tcW w:w="135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w w:val="105"/>
                <w:sz w:val="24"/>
                <w:szCs w:val="24"/>
                <w:lang w:val="ro-RO"/>
              </w:rPr>
              <w:t>0,50 pg/g greutate umedă</w:t>
            </w:r>
          </w:p>
        </w:tc>
      </w:tr>
      <w:tr w:rsidR="004637F3" w:rsidRPr="007D5559" w:rsidTr="000F0DEC">
        <w:trPr>
          <w:trHeight w:val="371"/>
        </w:trPr>
        <w:tc>
          <w:tcPr>
            <w:tcW w:w="313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6.</w:t>
            </w:r>
          </w:p>
        </w:tc>
        <w:tc>
          <w:tcPr>
            <w:tcW w:w="2017" w:type="pct"/>
          </w:tcPr>
          <w:p w:rsidR="004637F3" w:rsidRPr="007D5559" w:rsidRDefault="004637F3" w:rsidP="000F0DEC">
            <w:pPr>
              <w:ind w:firstLine="0"/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 xml:space="preserve">Cereale oleaginoase </w:t>
            </w:r>
          </w:p>
        </w:tc>
        <w:tc>
          <w:tcPr>
            <w:tcW w:w="131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w w:val="105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w w:val="105"/>
                <w:sz w:val="24"/>
                <w:szCs w:val="24"/>
                <w:lang w:val="ro-RO"/>
              </w:rPr>
              <w:t>0,50 pg/g greutate umedă</w:t>
            </w:r>
          </w:p>
        </w:tc>
        <w:tc>
          <w:tcPr>
            <w:tcW w:w="135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w w:val="105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w w:val="105"/>
                <w:sz w:val="24"/>
                <w:szCs w:val="24"/>
                <w:lang w:val="ro-RO"/>
              </w:rPr>
              <w:t>0,35 pg/g greutate umedă</w:t>
            </w:r>
          </w:p>
        </w:tc>
      </w:tr>
      <w:tr w:rsidR="004637F3" w:rsidRPr="007D5559" w:rsidTr="000F0DEC">
        <w:trPr>
          <w:trHeight w:val="371"/>
        </w:trPr>
        <w:tc>
          <w:tcPr>
            <w:tcW w:w="313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vertAlign w:val="superscript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  <w:t>7.</w:t>
            </w:r>
          </w:p>
        </w:tc>
        <w:tc>
          <w:tcPr>
            <w:tcW w:w="2017" w:type="pct"/>
          </w:tcPr>
          <w:p w:rsidR="004637F3" w:rsidRPr="007D5559" w:rsidRDefault="004637F3" w:rsidP="000F0DEC">
            <w:pPr>
              <w:ind w:firstLine="0"/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b/>
                <w:sz w:val="24"/>
                <w:szCs w:val="24"/>
                <w:lang w:val="ro-RO"/>
              </w:rPr>
              <w:t>Fructe, legume (inclusiv plante aromatice)</w:t>
            </w:r>
            <w:r w:rsidRPr="00D878F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ro-RO"/>
              </w:rPr>
              <w:t>(4)</w:t>
            </w:r>
          </w:p>
        </w:tc>
        <w:tc>
          <w:tcPr>
            <w:tcW w:w="131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w w:val="105"/>
                <w:sz w:val="24"/>
                <w:szCs w:val="24"/>
                <w:lang w:val="ro-RO"/>
              </w:rPr>
              <w:t>0,30 pg/g greutate umedă</w:t>
            </w:r>
          </w:p>
        </w:tc>
        <w:tc>
          <w:tcPr>
            <w:tcW w:w="1355" w:type="pct"/>
          </w:tcPr>
          <w:p w:rsidR="004637F3" w:rsidRPr="007D5559" w:rsidRDefault="004637F3" w:rsidP="000F0DEC">
            <w:pPr>
              <w:ind w:firstLine="0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eastAsia="PMingLiU" w:hAnsiTheme="majorBidi" w:cstheme="majorBidi"/>
                <w:w w:val="105"/>
                <w:sz w:val="24"/>
                <w:szCs w:val="24"/>
                <w:lang w:val="ro-RO"/>
              </w:rPr>
              <w:t>0,10 pg/g greutate umedă</w:t>
            </w:r>
          </w:p>
        </w:tc>
      </w:tr>
      <w:tr w:rsidR="004637F3" w:rsidRPr="004637F3" w:rsidTr="000F0DEC">
        <w:trPr>
          <w:trHeight w:val="371"/>
        </w:trPr>
        <w:tc>
          <w:tcPr>
            <w:tcW w:w="5000" w:type="pct"/>
            <w:gridSpan w:val="4"/>
          </w:tcPr>
          <w:p w:rsidR="004637F3" w:rsidRPr="007D5559" w:rsidRDefault="004637F3" w:rsidP="000F0DEC">
            <w:pPr>
              <w:tabs>
                <w:tab w:val="left" w:pos="993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</w:pPr>
          </w:p>
          <w:p w:rsidR="004637F3" w:rsidRPr="007D5559" w:rsidRDefault="004637F3" w:rsidP="000F0DEC">
            <w:pPr>
              <w:tabs>
                <w:tab w:val="left" w:pos="993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</w:pP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iunile utilizate în prezentul tabel se definesc după cum urmează:</w:t>
            </w:r>
          </w:p>
          <w:p w:rsidR="004637F3" w:rsidRPr="007D5559" w:rsidRDefault="004637F3" w:rsidP="000F0DEC">
            <w:pPr>
              <w:tabs>
                <w:tab w:val="left" w:pos="993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</w:pPr>
            <w:r w:rsidRPr="007D5559">
              <w:rPr>
                <w:rFonts w:asciiTheme="majorBidi" w:hAnsiTheme="majorBidi" w:cstheme="majorBidi"/>
                <w:b/>
                <w:i/>
                <w:sz w:val="24"/>
                <w:szCs w:val="24"/>
                <w:lang w:val="ro-RO" w:eastAsia="ru-RU"/>
              </w:rPr>
              <w:t>compu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  <w:lang w:val="ro-RO" w:eastAsia="ru-RU"/>
              </w:rPr>
              <w:t>ș</w:t>
            </w:r>
            <w:r w:rsidRPr="007D5559">
              <w:rPr>
                <w:rFonts w:asciiTheme="majorBidi" w:hAnsiTheme="majorBidi" w:cstheme="majorBidi"/>
                <w:b/>
                <w:i/>
                <w:sz w:val="24"/>
                <w:szCs w:val="24"/>
                <w:lang w:val="ro-RO" w:eastAsia="ru-RU"/>
              </w:rPr>
              <w:t>i bifenilipoliclorura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b/>
                <w:i/>
                <w:sz w:val="24"/>
                <w:szCs w:val="24"/>
                <w:lang w:val="ro-RO" w:eastAsia="ru-RU"/>
              </w:rPr>
              <w:t>i (PCB) de tipul dioxinei (OMS-TEQ) –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suma de bifenilipoliclorura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 (PCB), exprimată în echivalen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 toxici ai OMS, folosind factorii OMS de echivalen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ă toxică (TEF-OMS);</w:t>
            </w:r>
          </w:p>
          <w:p w:rsidR="004637F3" w:rsidRPr="007D5559" w:rsidRDefault="004637F3" w:rsidP="000F0DEC">
            <w:pPr>
              <w:tabs>
                <w:tab w:val="left" w:pos="993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</w:pPr>
            <w:r w:rsidRPr="007D5559">
              <w:rPr>
                <w:rFonts w:asciiTheme="majorBidi" w:hAnsiTheme="majorBidi" w:cstheme="majorBidi"/>
                <w:b/>
                <w:i/>
                <w:sz w:val="24"/>
                <w:szCs w:val="24"/>
                <w:lang w:val="ro-RO" w:eastAsia="ru-RU"/>
              </w:rPr>
              <w:t>dioxine + furani (OMS-TEQ) –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 xml:space="preserve">suma dibenzoparadioxinelorpoliclorurate (PCDD) 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ș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 a dibenzofuranilorpoliclorura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 (PCDF), exprimată în echivalen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 toxici (TEQ) ai Organiza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iei Mondiale a Sănătă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ii (OMS), utilizînd factorii OMS de echivalen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ă toxică (TEF-OMS);</w:t>
            </w:r>
          </w:p>
          <w:p w:rsidR="004637F3" w:rsidRPr="007D5559" w:rsidRDefault="004637F3" w:rsidP="000F0DEC">
            <w:pPr>
              <w:tabs>
                <w:tab w:val="left" w:pos="993"/>
              </w:tabs>
              <w:ind w:firstLine="0"/>
              <w:rPr>
                <w:rFonts w:asciiTheme="majorBidi" w:eastAsia="PMingLiU" w:hAnsiTheme="majorBidi" w:cstheme="majorBidi"/>
                <w:w w:val="105"/>
                <w:sz w:val="24"/>
                <w:szCs w:val="24"/>
                <w:lang w:val="ro-RO"/>
              </w:rPr>
            </w:pPr>
            <w:r w:rsidRPr="007D5559">
              <w:rPr>
                <w:rFonts w:asciiTheme="majorBidi" w:hAnsiTheme="majorBidi" w:cstheme="majorBidi"/>
                <w:b/>
                <w:i/>
                <w:sz w:val="24"/>
                <w:szCs w:val="24"/>
                <w:lang w:val="ro-RO" w:eastAsia="ru-RU"/>
              </w:rPr>
              <w:t>TEF-OMS –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factorii OMS de echivalen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ă toxică utiliza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 în vederea evaluării riscurilor pentru oameni, baza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 pe concluziile exper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ilor din cadrul Programului interna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ional pentru securitate chimică (IPCS) al Organiza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iei Mondiale a Sănătă</w:t>
            </w:r>
            <w:r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 w:eastAsia="ru-RU"/>
              </w:rPr>
              <w:t>ii (OMS) din anul 2005</w:t>
            </w:r>
          </w:p>
        </w:tc>
      </w:tr>
      <w:tr w:rsidR="004637F3" w:rsidRPr="007D5559" w:rsidTr="000F0DEC">
        <w:trPr>
          <w:trHeight w:val="371"/>
        </w:trPr>
        <w:tc>
          <w:tcPr>
            <w:tcW w:w="5000" w:type="pct"/>
            <w:gridSpan w:val="4"/>
          </w:tcPr>
          <w:p w:rsidR="004637F3" w:rsidRPr="007D5559" w:rsidRDefault="004637F3" w:rsidP="000F0DEC">
            <w:pPr>
              <w:tabs>
                <w:tab w:val="left" w:pos="993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:rsidR="004637F3" w:rsidRPr="007D5559" w:rsidRDefault="004637F3" w:rsidP="000F0DEC">
            <w:pPr>
              <w:tabs>
                <w:tab w:val="left" w:pos="993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FD692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ro-RO"/>
              </w:rPr>
              <w:t>(1)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Concentra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iile maxime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, care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se calculează presupunîndu-se că toate valorile diferi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ilor congeneri  sub  limita de cuantificare sînt egale cu limita de cuantificare.</w:t>
            </w:r>
          </w:p>
          <w:p w:rsidR="004637F3" w:rsidRPr="007D5559" w:rsidRDefault="004637F3" w:rsidP="000F0DEC">
            <w:pPr>
              <w:tabs>
                <w:tab w:val="left" w:pos="993"/>
              </w:tabs>
              <w:ind w:firstLine="0"/>
              <w:rPr>
                <w:rFonts w:asciiTheme="majorBidi" w:hAnsiTheme="majorBidi" w:cstheme="majorBidi"/>
                <w:iCs/>
                <w:sz w:val="24"/>
                <w:szCs w:val="24"/>
                <w:lang w:val="ro-RO"/>
              </w:rPr>
            </w:pPr>
            <w:r w:rsidRPr="00FD692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ro-RO"/>
              </w:rPr>
              <w:t>(2)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Produsele alimentare din această categorie, astfel cum sînt definite în Legea nr. 296/2017 privind cerin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ele generale de igienă a produselor alimentare </w:t>
            </w:r>
            <w:r w:rsidRPr="007D5559">
              <w:rPr>
                <w:rFonts w:asciiTheme="majorBidi" w:hAnsiTheme="majorBidi" w:cstheme="majorBidi"/>
                <w:iCs/>
                <w:sz w:val="24"/>
                <w:szCs w:val="24"/>
                <w:lang w:val="ro-RO"/>
              </w:rPr>
              <w:t>(Monitorul Oficial al Republicii Moldova, 2018, nr. 7-17, art. 60).</w:t>
            </w:r>
          </w:p>
          <w:p w:rsidR="004637F3" w:rsidRPr="007D5559" w:rsidRDefault="004637F3" w:rsidP="000F0DEC">
            <w:pPr>
              <w:tabs>
                <w:tab w:val="left" w:pos="993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FD692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ro-RO"/>
              </w:rPr>
              <w:t>(3)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Nivelurile de interven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ie nu se aplică în cazul produselor alimentare cu un con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inut de grăsime &lt; 2 %.</w:t>
            </w:r>
          </w:p>
          <w:p w:rsidR="004637F3" w:rsidRPr="007D5559" w:rsidRDefault="004637F3" w:rsidP="000F0DEC">
            <w:pPr>
              <w:tabs>
                <w:tab w:val="left" w:pos="993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FD692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ro-RO"/>
              </w:rPr>
              <w:t>(4)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Pentru fructele uscate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ș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i legumele uscate (inclusiv plante aromatice uscate), nivelul de 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>interven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ț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ie  este  de 0,5 pg/g pentru dioxine  + furani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ș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 de 0,45 pg/g pentru PCB de tipul dioxinei, raportat la produsul comercializat ca atare.</w:t>
            </w:r>
          </w:p>
          <w:p w:rsidR="004637F3" w:rsidRPr="008D7BED" w:rsidRDefault="004637F3" w:rsidP="000F0DEC">
            <w:pPr>
              <w:tabs>
                <w:tab w:val="left" w:pos="993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În cazul plantelor aromatice uscate, se 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i</w:t>
            </w:r>
            <w:r w:rsidRPr="007D5559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 în considerare un factor de concentrare ca urmare a uscării egal cu 7</w:t>
            </w:r>
            <w:r>
              <w:rPr>
                <w:rFonts w:asciiTheme="majorBidi" w:hAnsiTheme="majorBidi" w:cstheme="majorBidi"/>
                <w:sz w:val="24"/>
                <w:szCs w:val="24"/>
                <w:lang w:val="ro-RO"/>
              </w:rPr>
              <w:t>.</w:t>
            </w:r>
          </w:p>
        </w:tc>
      </w:tr>
    </w:tbl>
    <w:p w:rsidR="004637F3" w:rsidRPr="007D5559" w:rsidRDefault="004637F3" w:rsidP="004637F3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:rsidR="004637F3" w:rsidRPr="007D5559" w:rsidRDefault="004637F3" w:rsidP="004637F3">
      <w:pPr>
        <w:ind w:firstLine="0"/>
        <w:jc w:val="center"/>
        <w:rPr>
          <w:b/>
          <w:sz w:val="28"/>
          <w:szCs w:val="28"/>
          <w:lang w:val="ro-RO"/>
        </w:rPr>
      </w:pPr>
      <w:r w:rsidRPr="007D5559">
        <w:rPr>
          <w:b/>
          <w:sz w:val="28"/>
          <w:szCs w:val="28"/>
          <w:lang w:val="ro-RO"/>
        </w:rPr>
        <w:t xml:space="preserve">II. Toxinele T-2 </w:t>
      </w:r>
      <w:r>
        <w:rPr>
          <w:b/>
          <w:sz w:val="28"/>
          <w:szCs w:val="28"/>
          <w:lang w:val="ro-RO"/>
        </w:rPr>
        <w:t>ș</w:t>
      </w:r>
      <w:r w:rsidRPr="007D5559">
        <w:rPr>
          <w:b/>
          <w:sz w:val="28"/>
          <w:szCs w:val="28"/>
          <w:lang w:val="ro-RO"/>
        </w:rPr>
        <w:t xml:space="preserve">i HT-2 în cereale </w:t>
      </w:r>
    </w:p>
    <w:p w:rsidR="004637F3" w:rsidRPr="00FD692A" w:rsidRDefault="004637F3" w:rsidP="004637F3">
      <w:pPr>
        <w:ind w:firstLine="0"/>
        <w:jc w:val="center"/>
        <w:rPr>
          <w:b/>
          <w:color w:val="FF0000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ș</w:t>
      </w:r>
      <w:r w:rsidRPr="007D5559">
        <w:rPr>
          <w:b/>
          <w:sz w:val="28"/>
          <w:szCs w:val="28"/>
          <w:lang w:val="ro-RO"/>
        </w:rPr>
        <w:t xml:space="preserve">i în produsele pe bază de cereale </w:t>
      </w:r>
      <w:r w:rsidRPr="00D878F9">
        <w:rPr>
          <w:b/>
          <w:sz w:val="28"/>
          <w:szCs w:val="28"/>
          <w:vertAlign w:val="superscript"/>
          <w:lang w:val="ro-RO"/>
        </w:rPr>
        <w:t>(1), (2)</w:t>
      </w:r>
    </w:p>
    <w:p w:rsidR="004637F3" w:rsidRPr="007D5559" w:rsidRDefault="004637F3" w:rsidP="004637F3">
      <w:pPr>
        <w:ind w:left="142"/>
        <w:jc w:val="center"/>
        <w:rPr>
          <w:b/>
          <w:szCs w:val="28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667"/>
        <w:gridCol w:w="5749"/>
        <w:gridCol w:w="2826"/>
      </w:tblGrid>
      <w:tr w:rsidR="004637F3" w:rsidRPr="00193BBD" w:rsidTr="000F0DEC">
        <w:trPr>
          <w:trHeight w:val="2032"/>
        </w:trPr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7D5559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637F3" w:rsidRPr="007D5559" w:rsidRDefault="004637F3" w:rsidP="000F0DEC">
            <w:pPr>
              <w:spacing w:after="160" w:line="256" w:lineRule="auto"/>
              <w:ind w:firstLine="0"/>
              <w:rPr>
                <w:b/>
                <w:sz w:val="24"/>
                <w:szCs w:val="24"/>
                <w:lang w:val="ro-RO"/>
              </w:rPr>
            </w:pPr>
          </w:p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7D5559">
              <w:rPr>
                <w:b/>
                <w:sz w:val="24"/>
                <w:szCs w:val="24"/>
                <w:lang w:val="ro-RO"/>
              </w:rPr>
              <w:t>Denumirea produselor alimentare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7D5559">
              <w:rPr>
                <w:b/>
                <w:sz w:val="24"/>
                <w:szCs w:val="24"/>
                <w:lang w:val="ro-RO"/>
              </w:rPr>
              <w:t xml:space="preserve">Niveluri orientative pentru toxinele T-2 </w:t>
            </w:r>
            <w:r>
              <w:rPr>
                <w:b/>
                <w:sz w:val="24"/>
                <w:szCs w:val="24"/>
                <w:lang w:val="ro-RO"/>
              </w:rPr>
              <w:t>ș</w:t>
            </w:r>
            <w:r w:rsidRPr="007D5559">
              <w:rPr>
                <w:b/>
                <w:sz w:val="24"/>
                <w:szCs w:val="24"/>
                <w:lang w:val="ro-RO"/>
              </w:rPr>
              <w:t>i HT-2 cumulate (</w:t>
            </w:r>
            <w:r w:rsidRPr="007D5559">
              <w:rPr>
                <w:b/>
                <w:snapToGrid w:val="0"/>
                <w:sz w:val="24"/>
                <w:szCs w:val="24"/>
                <w:lang w:val="ro-RO"/>
              </w:rPr>
              <w:t>µg/kg) dincolo de care trebuie desfă</w:t>
            </w:r>
            <w:r>
              <w:rPr>
                <w:b/>
                <w:snapToGrid w:val="0"/>
                <w:sz w:val="24"/>
                <w:szCs w:val="24"/>
                <w:lang w:val="ro-RO"/>
              </w:rPr>
              <w:t>ș</w:t>
            </w:r>
            <w:r w:rsidRPr="007D5559">
              <w:rPr>
                <w:b/>
                <w:snapToGrid w:val="0"/>
                <w:sz w:val="24"/>
                <w:szCs w:val="24"/>
                <w:lang w:val="ro-RO"/>
              </w:rPr>
              <w:t>urate investiga</w:t>
            </w:r>
            <w:r>
              <w:rPr>
                <w:b/>
                <w:snapToGrid w:val="0"/>
                <w:sz w:val="24"/>
                <w:szCs w:val="24"/>
                <w:lang w:val="ro-RO"/>
              </w:rPr>
              <w:t>ț</w:t>
            </w:r>
            <w:r w:rsidRPr="007D5559">
              <w:rPr>
                <w:b/>
                <w:snapToGrid w:val="0"/>
                <w:sz w:val="24"/>
                <w:szCs w:val="24"/>
                <w:lang w:val="ro-RO"/>
              </w:rPr>
              <w:t>ii, în special în cazul depistărilor repetitive</w:t>
            </w:r>
            <w:r w:rsidRPr="00FD692A">
              <w:rPr>
                <w:b/>
                <w:snapToGrid w:val="0"/>
                <w:sz w:val="24"/>
                <w:szCs w:val="24"/>
                <w:vertAlign w:val="superscript"/>
                <w:lang w:val="ro-RO"/>
              </w:rPr>
              <w:t>(1)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7D5559">
              <w:rPr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b/>
                <w:bCs/>
                <w:sz w:val="24"/>
                <w:szCs w:val="24"/>
                <w:lang w:val="ro-RO"/>
              </w:rPr>
              <w:t>Cereale neprelucrate</w:t>
            </w:r>
            <w:r w:rsidRPr="007D5559">
              <w:rPr>
                <w:b/>
                <w:bCs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b/>
                <w:snapToGrid w:val="0"/>
                <w:sz w:val="24"/>
                <w:szCs w:val="24"/>
                <w:vertAlign w:val="superscript"/>
                <w:lang w:val="ro-RO"/>
              </w:rPr>
              <w:t>3)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1)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 xml:space="preserve">orz (inclusiv orz pentru bere)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porumb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200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2)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ovăz (nedecorticat)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1000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3)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 xml:space="preserve">grîu, secară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alte cereale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100</w:t>
            </w:r>
          </w:p>
        </w:tc>
      </w:tr>
      <w:tr w:rsidR="004637F3" w:rsidRPr="00193BBD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7D5559">
              <w:rPr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b/>
                <w:sz w:val="24"/>
                <w:szCs w:val="24"/>
                <w:lang w:val="ro-RO"/>
              </w:rPr>
            </w:pPr>
            <w:r w:rsidRPr="007D5559">
              <w:rPr>
                <w:b/>
                <w:sz w:val="24"/>
                <w:szCs w:val="24"/>
                <w:lang w:val="ro-RO"/>
              </w:rPr>
              <w:t>Boabe de cereale destinate consumului uman direct</w:t>
            </w:r>
            <w:r w:rsidRPr="007D5559">
              <w:rPr>
                <w:b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b/>
                <w:snapToGrid w:val="0"/>
                <w:sz w:val="24"/>
                <w:szCs w:val="24"/>
                <w:vertAlign w:val="superscript"/>
                <w:lang w:val="ro-RO"/>
              </w:rPr>
              <w:t>4)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1)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ovăz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200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2)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porumb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100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3)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alte cereale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50</w:t>
            </w:r>
          </w:p>
        </w:tc>
      </w:tr>
      <w:tr w:rsidR="004637F3" w:rsidRPr="00193BBD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7D5559">
              <w:rPr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b/>
                <w:sz w:val="24"/>
                <w:szCs w:val="24"/>
                <w:lang w:val="ro-RO"/>
              </w:rPr>
            </w:pPr>
            <w:r w:rsidRPr="007D5559">
              <w:rPr>
                <w:b/>
                <w:sz w:val="24"/>
                <w:szCs w:val="24"/>
                <w:lang w:val="ro-RO"/>
              </w:rPr>
              <w:t>Produse pe bază de cereale destinate consumului uman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1)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tărî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 xml:space="preserve">e de ovăz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fulgi de ovăz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200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2)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tărî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e de cereale, cu excep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ia tărî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elor de ovăz, produse rezultate din măcinarea ovăzului, altele decîttărî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 xml:space="preserve">ele de ovăz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 xml:space="preserve">i fulgii de ovăz, precum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produse rezultate din măcinarea porumbului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100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3)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alte produse rezultate din măcinarea cerealelor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50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4)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cereale pentru micul dejun, inclusiv sub formă de fulgi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75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5)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pîine (inclusiv produse de panifica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ie mici), produse de patiserie, biscui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i, batoane cu cereale, paste făinoase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25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6)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 xml:space="preserve">produse alimentare pe bază de cereale pentru sugari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copii de vîrstă mică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15</w:t>
            </w:r>
          </w:p>
        </w:tc>
      </w:tr>
      <w:tr w:rsidR="004637F3" w:rsidRPr="00193BBD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7D5559">
              <w:rPr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b/>
                <w:snapToGrid w:val="0"/>
                <w:sz w:val="24"/>
                <w:szCs w:val="24"/>
                <w:vertAlign w:val="superscript"/>
                <w:lang w:val="ro-RO"/>
              </w:rPr>
            </w:pPr>
            <w:r w:rsidRPr="007D5559">
              <w:rPr>
                <w:b/>
                <w:sz w:val="24"/>
                <w:szCs w:val="24"/>
                <w:lang w:val="ro-RO"/>
              </w:rPr>
              <w:t xml:space="preserve">Produse pe bază de cereale destinate hranei pentru animale </w:t>
            </w:r>
            <w:r>
              <w:rPr>
                <w:b/>
                <w:sz w:val="24"/>
                <w:szCs w:val="24"/>
                <w:lang w:val="ro-RO"/>
              </w:rPr>
              <w:t>ș</w:t>
            </w:r>
            <w:r w:rsidRPr="007D5559">
              <w:rPr>
                <w:b/>
                <w:sz w:val="24"/>
                <w:szCs w:val="24"/>
                <w:lang w:val="ro-RO"/>
              </w:rPr>
              <w:t>i hranei combinate pentru animale</w:t>
            </w:r>
            <w:r w:rsidRPr="007D5559">
              <w:rPr>
                <w:b/>
                <w:sz w:val="24"/>
                <w:szCs w:val="24"/>
                <w:vertAlign w:val="superscript"/>
                <w:lang w:val="ro-RO"/>
              </w:rPr>
              <w:t>(</w:t>
            </w:r>
            <w:r w:rsidRPr="007D5559">
              <w:rPr>
                <w:b/>
                <w:snapToGrid w:val="0"/>
                <w:sz w:val="24"/>
                <w:szCs w:val="24"/>
                <w:vertAlign w:val="superscript"/>
                <w:lang w:val="ro-RO"/>
              </w:rPr>
              <w:t>5)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1)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produse rezultate din măcinarea ovăzului (pleavă)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2000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lastRenderedPageBreak/>
              <w:t>2)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alte produse pe bază de cereale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500</w:t>
            </w:r>
          </w:p>
        </w:tc>
      </w:tr>
      <w:tr w:rsidR="004637F3" w:rsidRPr="007D5559" w:rsidTr="000F0DEC">
        <w:tc>
          <w:tcPr>
            <w:tcW w:w="361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3)</w:t>
            </w:r>
          </w:p>
        </w:tc>
        <w:tc>
          <w:tcPr>
            <w:tcW w:w="3110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hrană combinată pentru animale, cu excep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ia hranei pentru pisici</w:t>
            </w:r>
          </w:p>
        </w:tc>
        <w:tc>
          <w:tcPr>
            <w:tcW w:w="1529" w:type="pct"/>
          </w:tcPr>
          <w:p w:rsidR="004637F3" w:rsidRPr="007D5559" w:rsidRDefault="004637F3" w:rsidP="000F0DEC">
            <w:pPr>
              <w:spacing w:after="160" w:line="25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D5559">
              <w:rPr>
                <w:sz w:val="24"/>
                <w:szCs w:val="24"/>
                <w:lang w:val="ro-RO"/>
              </w:rPr>
              <w:t>250</w:t>
            </w:r>
          </w:p>
        </w:tc>
      </w:tr>
      <w:tr w:rsidR="004637F3" w:rsidRPr="00193BBD" w:rsidTr="000F0DEC">
        <w:tc>
          <w:tcPr>
            <w:tcW w:w="5000" w:type="pct"/>
            <w:gridSpan w:val="3"/>
          </w:tcPr>
          <w:p w:rsidR="004637F3" w:rsidRPr="007D5559" w:rsidRDefault="004637F3" w:rsidP="000F0DEC">
            <w:pPr>
              <w:adjustRightInd w:val="0"/>
              <w:ind w:firstLine="0"/>
              <w:rPr>
                <w:snapToGrid w:val="0"/>
                <w:sz w:val="24"/>
                <w:szCs w:val="24"/>
                <w:vertAlign w:val="superscript"/>
                <w:lang w:val="ro-RO"/>
              </w:rPr>
            </w:pPr>
          </w:p>
          <w:p w:rsidR="004637F3" w:rsidRPr="007D5559" w:rsidRDefault="004637F3" w:rsidP="000F0DEC">
            <w:pPr>
              <w:adjustRightInd w:val="0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napToGrid w:val="0"/>
                <w:sz w:val="24"/>
                <w:szCs w:val="24"/>
                <w:vertAlign w:val="superscript"/>
                <w:lang w:val="ro-RO"/>
              </w:rPr>
              <w:t xml:space="preserve">1) </w:t>
            </w:r>
            <w:r w:rsidRPr="007D5559">
              <w:rPr>
                <w:sz w:val="24"/>
                <w:szCs w:val="24"/>
                <w:lang w:val="ro-RO"/>
              </w:rPr>
              <w:t>Nivelurile men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ionate în prezenta anexă sînt niveluri orientative, dincolo de care, în special în cazul depistărilor repetitive, ar trebui să se desfă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oare investiga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ii privind factorii care conduc la prezen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 xml:space="preserve">a toxinelor T2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 xml:space="preserve">i HT-2 sau privind efectele prelucrării hranei pentru animale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a produselor alimentare. Nivelurile orientative se bazează pe datele disponibile în cadrul bazei de date a Agen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iei privind prezen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a toxinelor în cauză, astfel cum au fost prezentate de avizul Agen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iei. Nivelurile orientative nu sînt niveluri de siguran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 xml:space="preserve">ă aplicabile hranei pentru animale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ale produselor alimentare.</w:t>
            </w:r>
          </w:p>
          <w:p w:rsidR="004637F3" w:rsidRPr="007D5559" w:rsidRDefault="004637F3" w:rsidP="000F0DEC">
            <w:pPr>
              <w:adjustRightInd w:val="0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napToGrid w:val="0"/>
                <w:sz w:val="24"/>
                <w:szCs w:val="24"/>
                <w:vertAlign w:val="superscript"/>
                <w:lang w:val="ro-RO"/>
              </w:rPr>
              <w:t xml:space="preserve">2) </w:t>
            </w:r>
            <w:r w:rsidRPr="007D5559">
              <w:rPr>
                <w:sz w:val="24"/>
                <w:szCs w:val="24"/>
                <w:lang w:val="ro-RO"/>
              </w:rPr>
              <w:t xml:space="preserve">În sensul prezentei recomandări, cerealele nu includ orezul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produsele pe bază de cereale nu includ produsele pe bază de orez.</w:t>
            </w:r>
          </w:p>
          <w:p w:rsidR="004637F3" w:rsidRPr="007D5559" w:rsidRDefault="004637F3" w:rsidP="000F0DEC">
            <w:pPr>
              <w:adjustRightInd w:val="0"/>
              <w:ind w:firstLine="0"/>
              <w:rPr>
                <w:snapToGrid w:val="0"/>
                <w:sz w:val="24"/>
                <w:szCs w:val="24"/>
                <w:vertAlign w:val="superscript"/>
                <w:lang w:val="ro-RO"/>
              </w:rPr>
            </w:pPr>
            <w:r w:rsidRPr="007D5559">
              <w:rPr>
                <w:snapToGrid w:val="0"/>
                <w:sz w:val="24"/>
                <w:szCs w:val="24"/>
                <w:vertAlign w:val="superscript"/>
                <w:lang w:val="ro-RO"/>
              </w:rPr>
              <w:t xml:space="preserve">3) </w:t>
            </w:r>
            <w:r w:rsidRPr="007D5559">
              <w:rPr>
                <w:sz w:val="24"/>
                <w:szCs w:val="24"/>
                <w:lang w:val="ro-RO"/>
              </w:rPr>
              <w:t>Cerealele neprelucrate sînt cereale care nu au fost supuse niciunui tratament fizic sau termic, cu excep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ia celor de uscare, cură</w:t>
            </w:r>
            <w:r>
              <w:rPr>
                <w:sz w:val="24"/>
                <w:szCs w:val="24"/>
                <w:lang w:val="ro-RO"/>
              </w:rPr>
              <w:t>ța</w:t>
            </w:r>
            <w:r w:rsidRPr="007D5559">
              <w:rPr>
                <w:sz w:val="24"/>
                <w:szCs w:val="24"/>
                <w:lang w:val="ro-RO"/>
              </w:rPr>
              <w:t xml:space="preserve">re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sortare.</w:t>
            </w:r>
          </w:p>
          <w:p w:rsidR="004637F3" w:rsidRPr="007D5559" w:rsidRDefault="004637F3" w:rsidP="000F0DEC">
            <w:pPr>
              <w:adjustRightInd w:val="0"/>
              <w:ind w:firstLine="0"/>
              <w:rPr>
                <w:snapToGrid w:val="0"/>
                <w:sz w:val="24"/>
                <w:szCs w:val="24"/>
                <w:vertAlign w:val="superscript"/>
                <w:lang w:val="ro-RO"/>
              </w:rPr>
            </w:pPr>
            <w:r w:rsidRPr="007D5559">
              <w:rPr>
                <w:snapToGrid w:val="0"/>
                <w:sz w:val="24"/>
                <w:szCs w:val="24"/>
                <w:vertAlign w:val="superscript"/>
                <w:lang w:val="ro-RO"/>
              </w:rPr>
              <w:t xml:space="preserve">4) </w:t>
            </w:r>
            <w:r w:rsidRPr="007D5559">
              <w:rPr>
                <w:sz w:val="24"/>
                <w:szCs w:val="24"/>
                <w:lang w:val="ro-RO"/>
              </w:rPr>
              <w:t>Boabele de cereale pentru consumul uman direct sînt boabe de cereale care au fost supuse unor procese de uscare, cură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are, decorticare</w:t>
            </w:r>
            <w:r>
              <w:rPr>
                <w:sz w:val="24"/>
                <w:szCs w:val="24"/>
                <w:lang w:val="ro-RO"/>
              </w:rPr>
              <w:t>,</w:t>
            </w:r>
            <w:r w:rsidRPr="007D5559">
              <w:rPr>
                <w:sz w:val="24"/>
                <w:szCs w:val="24"/>
                <w:lang w:val="ro-RO"/>
              </w:rPr>
              <w:t xml:space="preserve"> sortare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care nu vor fi supuse unor procese suplimentare de cură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 xml:space="preserve">are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sortare înainte de prelucrarea lor ulterioară în lan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ul alimentar.</w:t>
            </w:r>
          </w:p>
          <w:p w:rsidR="004637F3" w:rsidRPr="007D5559" w:rsidRDefault="004637F3" w:rsidP="000F0DEC">
            <w:pPr>
              <w:adjustRightInd w:val="0"/>
              <w:ind w:firstLine="0"/>
              <w:rPr>
                <w:sz w:val="24"/>
                <w:szCs w:val="24"/>
                <w:lang w:val="ro-RO"/>
              </w:rPr>
            </w:pPr>
            <w:r w:rsidRPr="007D5559">
              <w:rPr>
                <w:snapToGrid w:val="0"/>
                <w:sz w:val="24"/>
                <w:szCs w:val="24"/>
                <w:vertAlign w:val="superscript"/>
                <w:lang w:val="ro-RO"/>
              </w:rPr>
              <w:t xml:space="preserve">5) </w:t>
            </w:r>
            <w:r w:rsidRPr="007D5559">
              <w:rPr>
                <w:sz w:val="24"/>
                <w:szCs w:val="24"/>
                <w:lang w:val="ro-RO"/>
              </w:rPr>
              <w:t xml:space="preserve">Nivelurile orientative pentru cereale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 xml:space="preserve">i pentru produsele pe bază de cereale destinate hranei pentru animale </w:t>
            </w:r>
            <w:r>
              <w:rPr>
                <w:sz w:val="24"/>
                <w:szCs w:val="24"/>
                <w:lang w:val="ro-RO"/>
              </w:rPr>
              <w:t>ș</w:t>
            </w:r>
            <w:r w:rsidRPr="007D5559">
              <w:rPr>
                <w:sz w:val="24"/>
                <w:szCs w:val="24"/>
                <w:lang w:val="ro-RO"/>
              </w:rPr>
              <w:t>i hranei combinate pentru animale au la bază un con</w:t>
            </w:r>
            <w:r>
              <w:rPr>
                <w:sz w:val="24"/>
                <w:szCs w:val="24"/>
                <w:lang w:val="ro-RO"/>
              </w:rPr>
              <w:t>ț</w:t>
            </w:r>
            <w:r w:rsidRPr="007D5559">
              <w:rPr>
                <w:sz w:val="24"/>
                <w:szCs w:val="24"/>
                <w:lang w:val="ro-RO"/>
              </w:rPr>
              <w:t>inut de umiditate de 12%.</w:t>
            </w:r>
          </w:p>
        </w:tc>
      </w:tr>
    </w:tbl>
    <w:p w:rsidR="00A752AB" w:rsidRDefault="00A752AB"/>
    <w:sectPr w:rsidR="00A752AB" w:rsidSect="004637F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7F3"/>
    <w:rsid w:val="004637F3"/>
    <w:rsid w:val="00A7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7F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637F3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2019-01-02T13:52:00Z</dcterms:created>
  <dcterms:modified xsi:type="dcterms:W3CDTF">2019-01-02T13:53:00Z</dcterms:modified>
</cp:coreProperties>
</file>