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04" w:rsidRPr="00C659EB" w:rsidRDefault="00323204" w:rsidP="00323204">
      <w:pPr>
        <w:keepNext/>
        <w:tabs>
          <w:tab w:val="left" w:pos="567"/>
        </w:tabs>
        <w:ind w:firstLine="0"/>
        <w:jc w:val="center"/>
        <w:outlineLvl w:val="0"/>
        <w:rPr>
          <w:rFonts w:eastAsia="Calibri"/>
          <w:color w:val="000000"/>
          <w:kern w:val="32"/>
          <w:sz w:val="28"/>
          <w:szCs w:val="28"/>
          <w:lang w:val="en-GB" w:eastAsia="ru-RU"/>
        </w:rPr>
      </w:pPr>
      <w:r w:rsidRPr="00FA722E">
        <w:rPr>
          <w:rFonts w:eastAsia="Calibri"/>
          <w:color w:val="000000"/>
          <w:kern w:val="32"/>
          <w:sz w:val="28"/>
          <w:szCs w:val="28"/>
          <w:lang w:eastAsia="ru-RU"/>
        </w:rPr>
        <w:t xml:space="preserve">                                                                                  </w:t>
      </w:r>
      <w:r w:rsidR="00C659EB">
        <w:rPr>
          <w:rFonts w:eastAsia="Calibri"/>
          <w:color w:val="000000"/>
          <w:kern w:val="32"/>
          <w:sz w:val="28"/>
          <w:szCs w:val="28"/>
          <w:lang w:val="en-GB" w:eastAsia="ru-RU"/>
        </w:rPr>
        <w:tab/>
      </w:r>
      <w:r w:rsidR="00C659EB">
        <w:rPr>
          <w:rFonts w:eastAsia="Calibri"/>
          <w:color w:val="000000"/>
          <w:kern w:val="32"/>
          <w:sz w:val="28"/>
          <w:szCs w:val="28"/>
          <w:lang w:val="en-GB" w:eastAsia="ru-RU"/>
        </w:rPr>
        <w:tab/>
      </w:r>
      <w:r w:rsidR="00C659EB">
        <w:rPr>
          <w:rFonts w:eastAsia="Calibri"/>
          <w:color w:val="000000"/>
          <w:kern w:val="32"/>
          <w:sz w:val="28"/>
          <w:szCs w:val="28"/>
          <w:lang w:val="en-GB" w:eastAsia="ru-RU"/>
        </w:rPr>
        <w:tab/>
      </w:r>
      <w:r w:rsidRPr="00FA722E">
        <w:rPr>
          <w:rFonts w:eastAsia="Calibri"/>
          <w:color w:val="000000"/>
          <w:kern w:val="32"/>
          <w:sz w:val="28"/>
          <w:szCs w:val="28"/>
          <w:lang w:eastAsia="ru-RU"/>
        </w:rPr>
        <w:t>Утверждена</w:t>
      </w:r>
    </w:p>
    <w:p w:rsidR="00323204" w:rsidRPr="00C659EB" w:rsidRDefault="00323204" w:rsidP="00323204">
      <w:pPr>
        <w:keepNext/>
        <w:tabs>
          <w:tab w:val="left" w:pos="567"/>
        </w:tabs>
        <w:ind w:firstLine="0"/>
        <w:jc w:val="right"/>
        <w:outlineLvl w:val="0"/>
        <w:rPr>
          <w:rFonts w:eastAsia="Calibri"/>
          <w:color w:val="000000"/>
          <w:kern w:val="32"/>
          <w:sz w:val="28"/>
          <w:szCs w:val="28"/>
          <w:lang w:val="en-GB" w:eastAsia="ru-RU"/>
        </w:rPr>
      </w:pPr>
      <w:r w:rsidRPr="00FA722E">
        <w:rPr>
          <w:rFonts w:eastAsia="Calibri"/>
          <w:color w:val="000000"/>
          <w:kern w:val="32"/>
          <w:sz w:val="28"/>
          <w:szCs w:val="28"/>
          <w:lang w:eastAsia="ru-RU"/>
        </w:rPr>
        <w:t>Постановлением Правительства №</w:t>
      </w:r>
      <w:r w:rsidR="00C659EB">
        <w:rPr>
          <w:rFonts w:eastAsia="Calibri"/>
          <w:color w:val="000000"/>
          <w:kern w:val="32"/>
          <w:sz w:val="28"/>
          <w:szCs w:val="28"/>
          <w:lang w:val="en-GB" w:eastAsia="ru-RU"/>
        </w:rPr>
        <w:t>1250/2018</w:t>
      </w:r>
    </w:p>
    <w:p w:rsidR="00323204" w:rsidRPr="00FA722E" w:rsidRDefault="00323204" w:rsidP="00323204">
      <w:pPr>
        <w:keepNext/>
        <w:tabs>
          <w:tab w:val="left" w:pos="567"/>
        </w:tabs>
        <w:ind w:firstLine="0"/>
        <w:jc w:val="right"/>
        <w:outlineLvl w:val="0"/>
        <w:rPr>
          <w:rFonts w:eastAsia="Calibri"/>
          <w:color w:val="000000"/>
          <w:kern w:val="32"/>
          <w:sz w:val="28"/>
          <w:szCs w:val="28"/>
          <w:lang w:eastAsia="ru-RU"/>
        </w:rPr>
      </w:pPr>
      <w:r w:rsidRPr="00FA722E">
        <w:rPr>
          <w:rFonts w:eastAsia="Calibri"/>
          <w:color w:val="000000"/>
          <w:kern w:val="32"/>
          <w:sz w:val="28"/>
          <w:szCs w:val="28"/>
          <w:lang w:eastAsia="ru-RU"/>
        </w:rPr>
        <w:tab/>
      </w:r>
      <w:r w:rsidRPr="00FA722E">
        <w:rPr>
          <w:rFonts w:eastAsia="Calibri"/>
          <w:color w:val="000000"/>
          <w:kern w:val="32"/>
          <w:sz w:val="28"/>
          <w:szCs w:val="28"/>
          <w:lang w:eastAsia="ru-RU"/>
        </w:rPr>
        <w:tab/>
      </w:r>
      <w:r w:rsidRPr="00FA722E">
        <w:rPr>
          <w:rFonts w:eastAsia="Calibri"/>
          <w:color w:val="000000"/>
          <w:kern w:val="32"/>
          <w:sz w:val="28"/>
          <w:szCs w:val="28"/>
          <w:lang w:eastAsia="ru-RU"/>
        </w:rPr>
        <w:tab/>
      </w:r>
      <w:r w:rsidRPr="00FA722E">
        <w:rPr>
          <w:rFonts w:eastAsia="Calibri"/>
          <w:color w:val="000000"/>
          <w:kern w:val="32"/>
          <w:sz w:val="28"/>
          <w:szCs w:val="28"/>
          <w:lang w:eastAsia="ru-RU"/>
        </w:rPr>
        <w:tab/>
      </w:r>
      <w:r w:rsidRPr="00FA722E">
        <w:rPr>
          <w:rFonts w:eastAsia="Calibri"/>
          <w:color w:val="000000"/>
          <w:kern w:val="32"/>
          <w:sz w:val="28"/>
          <w:szCs w:val="28"/>
          <w:lang w:eastAsia="ru-RU"/>
        </w:rPr>
        <w:tab/>
      </w:r>
      <w:r w:rsidRPr="00FA722E">
        <w:rPr>
          <w:rFonts w:eastAsia="Calibri"/>
          <w:color w:val="000000"/>
          <w:kern w:val="32"/>
          <w:sz w:val="28"/>
          <w:szCs w:val="28"/>
          <w:lang w:eastAsia="ru-RU"/>
        </w:rPr>
        <w:tab/>
      </w:r>
      <w:r w:rsidRPr="00FA722E">
        <w:rPr>
          <w:rFonts w:eastAsia="Calibri"/>
          <w:color w:val="000000"/>
          <w:kern w:val="32"/>
          <w:sz w:val="28"/>
          <w:szCs w:val="28"/>
          <w:lang w:eastAsia="ru-RU"/>
        </w:rPr>
        <w:tab/>
      </w:r>
    </w:p>
    <w:p w:rsidR="00323204" w:rsidRPr="00FA722E" w:rsidRDefault="00323204" w:rsidP="00323204">
      <w:pPr>
        <w:keepNext/>
        <w:tabs>
          <w:tab w:val="left" w:pos="567"/>
        </w:tabs>
        <w:ind w:firstLine="0"/>
        <w:jc w:val="center"/>
        <w:outlineLvl w:val="0"/>
        <w:rPr>
          <w:rFonts w:eastAsia="Calibri"/>
          <w:b/>
          <w:color w:val="000000"/>
          <w:kern w:val="32"/>
          <w:sz w:val="28"/>
          <w:szCs w:val="28"/>
          <w:lang w:eastAsia="ru-RU"/>
        </w:rPr>
      </w:pPr>
      <w:r w:rsidRPr="00FA722E">
        <w:rPr>
          <w:rFonts w:eastAsia="Calibri"/>
          <w:b/>
          <w:color w:val="000000"/>
          <w:kern w:val="32"/>
          <w:sz w:val="28"/>
          <w:szCs w:val="28"/>
          <w:lang w:eastAsia="ru-RU"/>
        </w:rPr>
        <w:t>ПРОГРАММА</w:t>
      </w:r>
    </w:p>
    <w:p w:rsidR="00323204" w:rsidRPr="00FA722E" w:rsidRDefault="00323204" w:rsidP="00323204">
      <w:pPr>
        <w:keepNext/>
        <w:tabs>
          <w:tab w:val="left" w:pos="567"/>
        </w:tabs>
        <w:ind w:firstLine="0"/>
        <w:jc w:val="center"/>
        <w:outlineLvl w:val="0"/>
        <w:rPr>
          <w:rFonts w:eastAsia="Calibri"/>
          <w:b/>
          <w:color w:val="000000"/>
          <w:kern w:val="32"/>
          <w:sz w:val="28"/>
          <w:szCs w:val="28"/>
          <w:lang w:eastAsia="ru-RU"/>
        </w:rPr>
      </w:pPr>
      <w:r w:rsidRPr="00FA722E">
        <w:rPr>
          <w:rFonts w:eastAsia="Calibri"/>
          <w:b/>
          <w:color w:val="000000"/>
          <w:kern w:val="32"/>
          <w:sz w:val="28"/>
          <w:szCs w:val="28"/>
          <w:lang w:eastAsia="ru-RU"/>
        </w:rPr>
        <w:t xml:space="preserve">«Управление государственным долгом в </w:t>
      </w:r>
      <w:proofErr w:type="gramStart"/>
      <w:r w:rsidRPr="00FA722E">
        <w:rPr>
          <w:rFonts w:eastAsia="Calibri"/>
          <w:b/>
          <w:color w:val="000000"/>
          <w:kern w:val="32"/>
          <w:sz w:val="28"/>
          <w:szCs w:val="28"/>
          <w:lang w:eastAsia="ru-RU"/>
        </w:rPr>
        <w:t>среднесрочной</w:t>
      </w:r>
      <w:proofErr w:type="gramEnd"/>
      <w:r w:rsidRPr="00FA722E">
        <w:rPr>
          <w:rFonts w:eastAsia="Calibri"/>
          <w:b/>
          <w:color w:val="000000"/>
          <w:kern w:val="32"/>
          <w:sz w:val="28"/>
          <w:szCs w:val="28"/>
          <w:lang w:eastAsia="ru-RU"/>
        </w:rPr>
        <w:t xml:space="preserve"> </w:t>
      </w:r>
    </w:p>
    <w:p w:rsidR="00323204" w:rsidRPr="00FA722E" w:rsidRDefault="00323204" w:rsidP="00323204">
      <w:pPr>
        <w:keepNext/>
        <w:tabs>
          <w:tab w:val="left" w:pos="567"/>
        </w:tabs>
        <w:ind w:firstLine="0"/>
        <w:jc w:val="center"/>
        <w:outlineLvl w:val="0"/>
        <w:rPr>
          <w:rFonts w:eastAsia="Calibri"/>
          <w:b/>
          <w:color w:val="000000"/>
          <w:kern w:val="32"/>
          <w:sz w:val="28"/>
          <w:szCs w:val="28"/>
          <w:lang w:eastAsia="ru-RU"/>
        </w:rPr>
      </w:pPr>
      <w:r w:rsidRPr="00FA722E">
        <w:rPr>
          <w:rFonts w:eastAsia="Calibri"/>
          <w:b/>
          <w:color w:val="000000"/>
          <w:kern w:val="32"/>
          <w:sz w:val="28"/>
          <w:szCs w:val="28"/>
          <w:lang w:eastAsia="ru-RU"/>
        </w:rPr>
        <w:t>перспективе (2019-2021)»</w:t>
      </w:r>
    </w:p>
    <w:p w:rsidR="00323204" w:rsidRPr="00FA722E" w:rsidRDefault="00323204" w:rsidP="00323204">
      <w:pPr>
        <w:keepNext/>
        <w:tabs>
          <w:tab w:val="left" w:pos="567"/>
        </w:tabs>
        <w:ind w:firstLine="0"/>
        <w:jc w:val="center"/>
        <w:outlineLvl w:val="0"/>
        <w:rPr>
          <w:rFonts w:eastAsia="Calibri"/>
          <w:b/>
          <w:color w:val="000000"/>
          <w:kern w:val="32"/>
          <w:sz w:val="28"/>
          <w:szCs w:val="28"/>
          <w:lang w:eastAsia="ru-RU"/>
        </w:rPr>
      </w:pPr>
    </w:p>
    <w:p w:rsidR="00323204" w:rsidRPr="00FA722E" w:rsidRDefault="00323204" w:rsidP="00323204">
      <w:pPr>
        <w:keepNext/>
        <w:numPr>
          <w:ilvl w:val="0"/>
          <w:numId w:val="3"/>
        </w:numPr>
        <w:tabs>
          <w:tab w:val="left" w:pos="567"/>
        </w:tabs>
        <w:spacing w:after="160" w:line="259" w:lineRule="auto"/>
        <w:contextualSpacing/>
        <w:jc w:val="center"/>
        <w:outlineLvl w:val="0"/>
        <w:rPr>
          <w:rFonts w:eastAsia="Calibri"/>
          <w:b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b/>
          <w:color w:val="000000"/>
          <w:kern w:val="32"/>
          <w:sz w:val="24"/>
          <w:szCs w:val="24"/>
          <w:lang w:eastAsia="ru-RU"/>
        </w:rPr>
        <w:t>ОБЩИЕ ПОЛОЖЕНИЯ</w:t>
      </w:r>
    </w:p>
    <w:p w:rsidR="00323204" w:rsidRPr="00FA722E" w:rsidRDefault="00323204" w:rsidP="00323204">
      <w:pPr>
        <w:keepNext/>
        <w:tabs>
          <w:tab w:val="left" w:pos="567"/>
        </w:tabs>
        <w:spacing w:after="160" w:line="259" w:lineRule="auto"/>
        <w:ind w:left="1080" w:firstLine="0"/>
        <w:contextualSpacing/>
        <w:outlineLvl w:val="0"/>
        <w:rPr>
          <w:rFonts w:eastAsia="Calibri"/>
          <w:b/>
          <w:color w:val="000000"/>
          <w:kern w:val="32"/>
          <w:sz w:val="24"/>
          <w:szCs w:val="24"/>
          <w:lang w:eastAsia="ru-RU"/>
        </w:rPr>
      </w:pPr>
    </w:p>
    <w:p w:rsidR="00323204" w:rsidRPr="00FA722E" w:rsidRDefault="00323204" w:rsidP="00323204">
      <w:pPr>
        <w:keepNext/>
        <w:tabs>
          <w:tab w:val="left" w:pos="0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В соответствии с положениями Закона №419/2006 о долге публичного сектора, государственных гарантиях и государственном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рекредитовании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, Министерство финансов осуществляет управление государственным долгом и государственными гарантиями. С этой целью была разработана Программа «Управление государственным долгом в среднесрочной перспективе (2019-2021)» (в дальнейшем - </w:t>
      </w:r>
      <w:r w:rsidRPr="00FA722E">
        <w:rPr>
          <w:rFonts w:eastAsia="Calibri"/>
          <w:i/>
          <w:color w:val="000000"/>
          <w:kern w:val="32"/>
          <w:sz w:val="27"/>
          <w:szCs w:val="27"/>
          <w:lang w:eastAsia="ru-RU"/>
        </w:rPr>
        <w:t>Программа</w:t>
      </w: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).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Документ представляет собой продолжение Программы «Управление государственным долгом в среднесрочной перспективе на 2018-2020 годы», которая пересмотрена на промежуток времени 2019-2021 годов, согласно прогнозам о среднесрочном государственном долге и обновленному прогнозу макроэкономических показателей, предоставленному Министерством экономики и инфраструктуры.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В среднесрочной перспективе Республика Молдова исследует новые возможности финансирования, что позволит получить доступ к источникам финансирования по более высоким ценам. В процессе правления государственным долгом необходимо принимать во внимание, что это может сопровождаться возникновением новых рисков или обострением уже существующих рисков.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Программа устанавливает основную цель процесса управления государственным долгом, конкретные цели, а также действия, которые будут предприняты органами с целью обеспечения финансирования и улучшения структуры портфеля государственного долга, а их внедрение не создаст давления на устойчивость фискальной политики в целом.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Программа фокусируется на описании финансовой стратегии остатка (дефицита) государственного бюджета и на выявлении сопутствующих факторов стоимости и риска. Документ был  разработан в соответствии с лучшими международными практиками, определенными в «Руководящих принципах Всемирного банка и МВФ в отношении разработки среднесрочных долговых стратегий», с использованием аналитического инструмента </w:t>
      </w:r>
      <w:proofErr w:type="spellStart"/>
      <w:r w:rsidRPr="00FA722E">
        <w:rPr>
          <w:rFonts w:eastAsia="Calibri"/>
          <w:i/>
          <w:color w:val="000000"/>
          <w:kern w:val="32"/>
          <w:sz w:val="27"/>
          <w:szCs w:val="27"/>
          <w:lang w:eastAsia="ru-RU"/>
        </w:rPr>
        <w:t>Medium</w:t>
      </w:r>
      <w:proofErr w:type="spellEnd"/>
      <w:r w:rsidRPr="00FA722E">
        <w:rPr>
          <w:rFonts w:eastAsia="Calibri"/>
          <w:i/>
          <w:color w:val="000000"/>
          <w:kern w:val="32"/>
          <w:sz w:val="27"/>
          <w:szCs w:val="27"/>
          <w:lang w:eastAsia="ru-RU"/>
        </w:rPr>
        <w:t xml:space="preserve"> </w:t>
      </w:r>
      <w:proofErr w:type="spellStart"/>
      <w:r w:rsidRPr="00FA722E">
        <w:rPr>
          <w:rFonts w:eastAsia="Calibri"/>
          <w:i/>
          <w:color w:val="000000"/>
          <w:kern w:val="32"/>
          <w:sz w:val="27"/>
          <w:szCs w:val="27"/>
          <w:lang w:eastAsia="ru-RU"/>
        </w:rPr>
        <w:t>Term</w:t>
      </w:r>
      <w:proofErr w:type="spellEnd"/>
      <w:r w:rsidRPr="00FA722E">
        <w:rPr>
          <w:rFonts w:eastAsia="Calibri"/>
          <w:i/>
          <w:color w:val="000000"/>
          <w:kern w:val="32"/>
          <w:sz w:val="27"/>
          <w:szCs w:val="27"/>
          <w:lang w:eastAsia="ru-RU"/>
        </w:rPr>
        <w:t xml:space="preserve"> </w:t>
      </w:r>
      <w:proofErr w:type="spellStart"/>
      <w:r w:rsidRPr="00FA722E">
        <w:rPr>
          <w:rFonts w:eastAsia="Calibri"/>
          <w:i/>
          <w:color w:val="000000"/>
          <w:kern w:val="32"/>
          <w:sz w:val="27"/>
          <w:szCs w:val="27"/>
          <w:lang w:eastAsia="ru-RU"/>
        </w:rPr>
        <w:t>Debt</w:t>
      </w:r>
      <w:proofErr w:type="spellEnd"/>
      <w:r w:rsidRPr="00FA722E">
        <w:rPr>
          <w:rFonts w:eastAsia="Calibri"/>
          <w:i/>
          <w:color w:val="000000"/>
          <w:kern w:val="32"/>
          <w:sz w:val="27"/>
          <w:szCs w:val="27"/>
          <w:lang w:eastAsia="ru-RU"/>
        </w:rPr>
        <w:t xml:space="preserve"> </w:t>
      </w:r>
      <w:proofErr w:type="spellStart"/>
      <w:r w:rsidRPr="00FA722E">
        <w:rPr>
          <w:rFonts w:eastAsia="Calibri"/>
          <w:i/>
          <w:color w:val="000000"/>
          <w:kern w:val="32"/>
          <w:sz w:val="27"/>
          <w:szCs w:val="27"/>
          <w:lang w:eastAsia="ru-RU"/>
        </w:rPr>
        <w:t>Management</w:t>
      </w:r>
      <w:proofErr w:type="spellEnd"/>
      <w:r w:rsidRPr="00FA722E">
        <w:rPr>
          <w:rFonts w:eastAsia="Calibri"/>
          <w:i/>
          <w:color w:val="000000"/>
          <w:kern w:val="32"/>
          <w:sz w:val="27"/>
          <w:szCs w:val="27"/>
          <w:lang w:eastAsia="ru-RU"/>
        </w:rPr>
        <w:t xml:space="preserve"> </w:t>
      </w:r>
      <w:proofErr w:type="spellStart"/>
      <w:r w:rsidRPr="00FA722E">
        <w:rPr>
          <w:rFonts w:eastAsia="Calibri"/>
          <w:i/>
          <w:color w:val="000000"/>
          <w:kern w:val="32"/>
          <w:sz w:val="27"/>
          <w:szCs w:val="27"/>
          <w:lang w:eastAsia="ru-RU"/>
        </w:rPr>
        <w:t>Strategy</w:t>
      </w:r>
      <w:proofErr w:type="spellEnd"/>
      <w:r w:rsidRPr="00FA722E">
        <w:rPr>
          <w:rFonts w:eastAsia="Calibri"/>
          <w:i/>
          <w:color w:val="000000"/>
          <w:kern w:val="32"/>
          <w:sz w:val="27"/>
          <w:szCs w:val="27"/>
          <w:lang w:eastAsia="ru-RU"/>
        </w:rPr>
        <w:t xml:space="preserve"> (MTDS AT).</w:t>
      </w: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Инструмент предоставляет количественные оценки, касающиеся соотношения стоимости/риска, связанного с альтернативными стратегиями обеспечения финансовых нужд. В то же время позволяет осуществлять симуляции воздействия различных шоковых сценариев развития рыночных показателей на государственный долг и его обслуживание.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Настоящая Программа разработана </w:t>
      </w: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исходя из экономической ситуации страны, определенных ограничений местного финансового рынка, рейтинга страны, который был</w:t>
      </w:r>
      <w:proofErr w:type="gram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пересмотрен корпорацией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Moody’s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в ноябре 2018, с подтверждением рейтинга В3 со стабильной перспективой, а также показателя </w:t>
      </w: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lastRenderedPageBreak/>
        <w:t xml:space="preserve">CPIA для Республики Молдова – средняя эффективность в том, что касается политики и институционных положений. 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В рамках настоящей Программы проведен количественный анализ трех стратегий финансирования, основанных на различных сценариях развития условий на местном и внешнем рынках.</w:t>
      </w:r>
    </w:p>
    <w:p w:rsidR="00323204" w:rsidRPr="00FA722E" w:rsidRDefault="00323204" w:rsidP="00323204">
      <w:pPr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Для того</w:t>
      </w: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,</w:t>
      </w:r>
      <w:proofErr w:type="gram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чтобы не подвергать портфель государственного долга чрезмерному воздействию</w:t>
      </w:r>
      <w:r w:rsidRPr="00FA722E">
        <w:rPr>
          <w:rFonts w:ascii="Calibri" w:eastAsia="Calibri" w:hAnsi="Calibri"/>
          <w:sz w:val="27"/>
          <w:szCs w:val="27"/>
        </w:rPr>
        <w:t xml:space="preserve"> </w:t>
      </w: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валютного риска, риска процентной ставки и риска рефинансирования, Программа устанавливает ориентировочные целевые интервалы для основных параметров риска и устойчивости,</w:t>
      </w:r>
      <w:r w:rsidRPr="00FA722E">
        <w:rPr>
          <w:rFonts w:ascii="Arial" w:eastAsia="Calibri" w:hAnsi="Arial"/>
          <w:sz w:val="27"/>
          <w:szCs w:val="27"/>
        </w:rPr>
        <w:t xml:space="preserve"> </w:t>
      </w:r>
      <w:r w:rsidRPr="00FA722E">
        <w:rPr>
          <w:rFonts w:eastAsia="Calibri"/>
          <w:sz w:val="27"/>
          <w:szCs w:val="27"/>
        </w:rPr>
        <w:t xml:space="preserve">исходя из исторической и текущей структуры портфеля государственного долга, а также на основании результатов анализа основного сценария финансирования при помощи аналитического инструмента MTDS.  В то же время, </w:t>
      </w: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установленные интервалы обеспечивают высокий уровень гибкости в управлении государственным долгом, чтобы реагировать на изменения условий финансовых рынков, представляя желаемую композицию портфеля государственного долга. Лимит, указанный как минимальный или максимальный, не может быть превышен во временных рамках стратегии, в то время как другой лимит представляет собой лимит, к которому она стремится и который может быть превышен. Разрешаются незначительные отклонения от предложенных пределов, если они не создают дополнительных финансовых рисков.</w:t>
      </w:r>
    </w:p>
    <w:p w:rsidR="00323204" w:rsidRPr="00FA722E" w:rsidRDefault="00323204" w:rsidP="00323204">
      <w:pPr>
        <w:tabs>
          <w:tab w:val="left" w:pos="567"/>
        </w:tabs>
        <w:autoSpaceDE w:val="0"/>
        <w:autoSpaceDN w:val="0"/>
        <w:adjustRightInd w:val="0"/>
        <w:ind w:firstLine="737"/>
        <w:jc w:val="right"/>
        <w:rPr>
          <w:sz w:val="24"/>
          <w:szCs w:val="24"/>
          <w:lang w:eastAsia="ru-RU"/>
        </w:rPr>
      </w:pPr>
      <w:r w:rsidRPr="00FA722E">
        <w:rPr>
          <w:sz w:val="24"/>
          <w:szCs w:val="24"/>
          <w:lang w:eastAsia="ru-RU"/>
        </w:rPr>
        <w:t>Таблица 1</w:t>
      </w:r>
    </w:p>
    <w:p w:rsidR="00323204" w:rsidRPr="00FA722E" w:rsidRDefault="00323204" w:rsidP="00323204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FA722E">
        <w:rPr>
          <w:b/>
          <w:sz w:val="24"/>
          <w:szCs w:val="24"/>
          <w:lang w:eastAsia="ru-RU"/>
        </w:rPr>
        <w:t xml:space="preserve">Параметры риска и устойчивости, связанные </w:t>
      </w:r>
    </w:p>
    <w:p w:rsidR="00323204" w:rsidRPr="00FA722E" w:rsidRDefault="00323204" w:rsidP="00323204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FA722E">
        <w:rPr>
          <w:b/>
          <w:sz w:val="24"/>
          <w:szCs w:val="24"/>
          <w:lang w:eastAsia="ru-RU"/>
        </w:rPr>
        <w:t xml:space="preserve">с государственным долгом </w:t>
      </w:r>
    </w:p>
    <w:p w:rsidR="00323204" w:rsidRPr="00FA722E" w:rsidRDefault="00323204" w:rsidP="00323204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b/>
          <w:sz w:val="12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7"/>
        <w:gridCol w:w="1777"/>
      </w:tblGrid>
      <w:tr w:rsidR="00323204" w:rsidRPr="00FA722E" w:rsidTr="0084692D">
        <w:trPr>
          <w:trHeight w:val="135"/>
          <w:jc w:val="center"/>
        </w:trPr>
        <w:tc>
          <w:tcPr>
            <w:tcW w:w="4078" w:type="pct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A722E">
              <w:rPr>
                <w:b/>
                <w:sz w:val="24"/>
                <w:szCs w:val="24"/>
                <w:lang w:eastAsia="ru-RU"/>
              </w:rPr>
              <w:t>Параметры риска на период 2019-2021 годов</w:t>
            </w:r>
          </w:p>
        </w:tc>
        <w:tc>
          <w:tcPr>
            <w:tcW w:w="922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A722E">
              <w:rPr>
                <w:b/>
                <w:sz w:val="24"/>
                <w:szCs w:val="24"/>
                <w:lang w:eastAsia="ru-RU"/>
              </w:rPr>
              <w:t>Значение на период 2019-2021 годов</w:t>
            </w:r>
          </w:p>
        </w:tc>
      </w:tr>
      <w:tr w:rsidR="00323204" w:rsidRPr="00FA722E" w:rsidTr="0084692D">
        <w:trPr>
          <w:trHeight w:val="135"/>
          <w:jc w:val="center"/>
        </w:trPr>
        <w:tc>
          <w:tcPr>
            <w:tcW w:w="4078" w:type="pct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A722E">
              <w:rPr>
                <w:sz w:val="24"/>
                <w:szCs w:val="24"/>
                <w:lang w:eastAsia="ru-RU"/>
              </w:rPr>
              <w:t>Государственный долг, подлежащий оплате в течение одного года (% из всего)</w:t>
            </w:r>
          </w:p>
        </w:tc>
        <w:tc>
          <w:tcPr>
            <w:tcW w:w="922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722E">
              <w:rPr>
                <w:sz w:val="24"/>
                <w:szCs w:val="24"/>
                <w:lang w:eastAsia="ru-RU"/>
              </w:rPr>
              <w:t>15% - 25% (максимум)</w:t>
            </w:r>
          </w:p>
        </w:tc>
      </w:tr>
      <w:tr w:rsidR="00323204" w:rsidRPr="00FA722E" w:rsidTr="0084692D">
        <w:trPr>
          <w:trHeight w:val="60"/>
          <w:jc w:val="center"/>
        </w:trPr>
        <w:tc>
          <w:tcPr>
            <w:tcW w:w="4078" w:type="pct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A722E">
              <w:rPr>
                <w:sz w:val="24"/>
                <w:szCs w:val="24"/>
                <w:lang w:eastAsia="ru-RU"/>
              </w:rPr>
              <w:t>Внутренний государственный долг (% из всего)</w:t>
            </w:r>
          </w:p>
        </w:tc>
        <w:tc>
          <w:tcPr>
            <w:tcW w:w="922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A722E">
              <w:rPr>
                <w:sz w:val="24"/>
                <w:szCs w:val="24"/>
                <w:lang w:eastAsia="ru-RU"/>
              </w:rPr>
              <w:t>35%(минимум) – 50%</w:t>
            </w:r>
          </w:p>
        </w:tc>
      </w:tr>
      <w:tr w:rsidR="00323204" w:rsidRPr="00FA722E" w:rsidTr="0084692D">
        <w:trPr>
          <w:trHeight w:val="250"/>
          <w:jc w:val="center"/>
        </w:trPr>
        <w:tc>
          <w:tcPr>
            <w:tcW w:w="4078" w:type="pct"/>
            <w:tcBorders>
              <w:top w:val="single" w:sz="4" w:space="0" w:color="17365D"/>
              <w:right w:val="single" w:sz="4" w:space="0" w:color="17365D"/>
            </w:tcBorders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A722E">
              <w:rPr>
                <w:sz w:val="24"/>
                <w:szCs w:val="24"/>
                <w:lang w:eastAsia="ru-RU"/>
              </w:rPr>
              <w:t>Государственный долг в определенной иностранной валюте (% из всего)</w:t>
            </w:r>
          </w:p>
        </w:tc>
        <w:tc>
          <w:tcPr>
            <w:tcW w:w="922" w:type="pct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722E">
              <w:rPr>
                <w:sz w:val="24"/>
                <w:szCs w:val="24"/>
                <w:lang w:eastAsia="ru-RU"/>
              </w:rPr>
              <w:t>20% - 40% (максимум)</w:t>
            </w:r>
          </w:p>
        </w:tc>
      </w:tr>
      <w:tr w:rsidR="00323204" w:rsidRPr="00FA722E" w:rsidTr="0084692D">
        <w:trPr>
          <w:trHeight w:val="60"/>
          <w:jc w:val="center"/>
        </w:trPr>
        <w:tc>
          <w:tcPr>
            <w:tcW w:w="4078" w:type="pct"/>
            <w:tcBorders>
              <w:right w:val="single" w:sz="4" w:space="0" w:color="17365D"/>
            </w:tcBorders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A722E">
              <w:rPr>
                <w:sz w:val="24"/>
                <w:szCs w:val="24"/>
                <w:lang w:eastAsia="ru-RU"/>
              </w:rPr>
              <w:t xml:space="preserve">Государственный долг с переменной процентной ставкой  (% из всего) </w:t>
            </w:r>
          </w:p>
        </w:tc>
        <w:tc>
          <w:tcPr>
            <w:tcW w:w="922" w:type="pct"/>
            <w:tcBorders>
              <w:left w:val="single" w:sz="4" w:space="0" w:color="17365D"/>
              <w:right w:val="single" w:sz="4" w:space="0" w:color="17365D"/>
            </w:tcBorders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722E">
              <w:rPr>
                <w:sz w:val="24"/>
                <w:szCs w:val="24"/>
                <w:lang w:eastAsia="ru-RU"/>
              </w:rPr>
              <w:t>25% - 40% (максимум)</w:t>
            </w:r>
          </w:p>
        </w:tc>
      </w:tr>
      <w:tr w:rsidR="00323204" w:rsidRPr="00FA722E" w:rsidTr="0084692D">
        <w:trPr>
          <w:trHeight w:val="60"/>
          <w:jc w:val="center"/>
        </w:trPr>
        <w:tc>
          <w:tcPr>
            <w:tcW w:w="4078" w:type="pct"/>
            <w:tcBorders>
              <w:right w:val="single" w:sz="4" w:space="0" w:color="17365D"/>
            </w:tcBorders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A722E">
              <w:rPr>
                <w:sz w:val="24"/>
                <w:szCs w:val="24"/>
                <w:lang w:eastAsia="ru-RU"/>
              </w:rPr>
              <w:t xml:space="preserve">ГЦБ, выпущенные на первичном рынке, подлежащие оплате в течение одного года (% из всего) </w:t>
            </w:r>
          </w:p>
        </w:tc>
        <w:tc>
          <w:tcPr>
            <w:tcW w:w="922" w:type="pct"/>
            <w:tcBorders>
              <w:left w:val="single" w:sz="4" w:space="0" w:color="17365D"/>
              <w:right w:val="single" w:sz="4" w:space="0" w:color="17365D"/>
            </w:tcBorders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722E">
              <w:rPr>
                <w:sz w:val="24"/>
                <w:szCs w:val="24"/>
                <w:lang w:eastAsia="ru-RU"/>
              </w:rPr>
              <w:t>70% - 85% (максимум)</w:t>
            </w:r>
          </w:p>
        </w:tc>
      </w:tr>
      <w:tr w:rsidR="00323204" w:rsidRPr="00FA722E" w:rsidTr="0084692D">
        <w:trPr>
          <w:trHeight w:val="60"/>
          <w:jc w:val="center"/>
        </w:trPr>
        <w:tc>
          <w:tcPr>
            <w:tcW w:w="4078" w:type="pct"/>
            <w:tcBorders>
              <w:right w:val="single" w:sz="4" w:space="0" w:color="17365D"/>
            </w:tcBorders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 w:rsidRPr="00FA722E">
              <w:rPr>
                <w:sz w:val="24"/>
                <w:szCs w:val="24"/>
                <w:lang w:eastAsia="ru-RU"/>
              </w:rPr>
              <w:t>АТМ</w:t>
            </w:r>
            <w:proofErr w:type="gramEnd"/>
            <w:r w:rsidRPr="00FA722E">
              <w:rPr>
                <w:sz w:val="24"/>
                <w:szCs w:val="24"/>
                <w:lang w:eastAsia="ru-RU"/>
              </w:rPr>
              <w:t xml:space="preserve"> для ГЦБ, выпущенных на первичном рынке (лет)</w:t>
            </w:r>
          </w:p>
        </w:tc>
        <w:tc>
          <w:tcPr>
            <w:tcW w:w="922" w:type="pct"/>
            <w:tcBorders>
              <w:left w:val="single" w:sz="4" w:space="0" w:color="17365D"/>
              <w:right w:val="single" w:sz="4" w:space="0" w:color="17365D"/>
            </w:tcBorders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722E">
              <w:rPr>
                <w:sz w:val="24"/>
                <w:szCs w:val="24"/>
                <w:lang w:eastAsia="ru-RU"/>
              </w:rPr>
              <w:t>1,2 (минимум) – 2,0</w:t>
            </w:r>
          </w:p>
        </w:tc>
      </w:tr>
      <w:tr w:rsidR="00323204" w:rsidRPr="00FA722E" w:rsidTr="0084692D">
        <w:trPr>
          <w:trHeight w:val="451"/>
          <w:jc w:val="center"/>
        </w:trPr>
        <w:tc>
          <w:tcPr>
            <w:tcW w:w="4078" w:type="pct"/>
            <w:tcBorders>
              <w:right w:val="single" w:sz="4" w:space="0" w:color="17365D"/>
            </w:tcBorders>
            <w:shd w:val="clear" w:color="auto" w:fill="B8CCE4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722E">
              <w:rPr>
                <w:b/>
                <w:sz w:val="24"/>
                <w:szCs w:val="24"/>
                <w:lang w:eastAsia="ru-RU"/>
              </w:rPr>
              <w:t xml:space="preserve">Параметры устойчивости* для периода 2019-2021 годов </w:t>
            </w:r>
          </w:p>
        </w:tc>
        <w:tc>
          <w:tcPr>
            <w:tcW w:w="922" w:type="pct"/>
            <w:tcBorders>
              <w:left w:val="single" w:sz="4" w:space="0" w:color="17365D"/>
              <w:right w:val="single" w:sz="4" w:space="0" w:color="17365D"/>
            </w:tcBorders>
            <w:shd w:val="clear" w:color="auto" w:fill="B8CCE4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3204" w:rsidRPr="00FA722E" w:rsidTr="0084692D">
        <w:trPr>
          <w:trHeight w:val="401"/>
          <w:jc w:val="center"/>
        </w:trPr>
        <w:tc>
          <w:tcPr>
            <w:tcW w:w="4078" w:type="pct"/>
            <w:tcBorders>
              <w:right w:val="single" w:sz="4" w:space="0" w:color="17365D"/>
            </w:tcBorders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A722E">
              <w:rPr>
                <w:sz w:val="24"/>
                <w:szCs w:val="24"/>
                <w:lang w:eastAsia="ru-RU"/>
              </w:rPr>
              <w:t>Обслуживание государственного долга (% по сравнению с доходами государственного бюджета)</w:t>
            </w:r>
          </w:p>
        </w:tc>
        <w:tc>
          <w:tcPr>
            <w:tcW w:w="922" w:type="pct"/>
            <w:tcBorders>
              <w:left w:val="single" w:sz="4" w:space="0" w:color="17365D"/>
              <w:right w:val="single" w:sz="4" w:space="0" w:color="17365D"/>
            </w:tcBorders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A722E">
              <w:rPr>
                <w:sz w:val="24"/>
                <w:szCs w:val="24"/>
                <w:lang w:eastAsia="ru-RU"/>
              </w:rPr>
              <w:t>≤ 10%</w:t>
            </w:r>
          </w:p>
        </w:tc>
      </w:tr>
    </w:tbl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i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i/>
          <w:color w:val="000000"/>
          <w:kern w:val="32"/>
          <w:sz w:val="28"/>
          <w:szCs w:val="28"/>
          <w:lang w:eastAsia="ru-RU"/>
        </w:rPr>
        <w:t xml:space="preserve">* </w:t>
      </w:r>
      <w:r w:rsidRPr="00FA722E">
        <w:rPr>
          <w:rFonts w:eastAsia="Calibri"/>
          <w:i/>
          <w:color w:val="000000"/>
          <w:kern w:val="32"/>
          <w:sz w:val="24"/>
          <w:szCs w:val="24"/>
          <w:lang w:eastAsia="ru-RU"/>
        </w:rPr>
        <w:t>Показатель устойчивости установлен на основании методологии, предложенной в рамках устойчивости долга для стран с низким доходом (Всемирный банк – Международный валютный фонд)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i/>
          <w:color w:val="000000"/>
          <w:kern w:val="32"/>
          <w:sz w:val="24"/>
          <w:szCs w:val="24"/>
          <w:lang w:eastAsia="ru-RU"/>
        </w:rPr>
      </w:pP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Другие релевантные показатели (средний срок погашения, средний срок повторной фиксации, профиль возврата долга) для мониторинга государственного долга подсчитываются и распространяются в квартальных отчетах о состоянии в области долга публичного сектора, государственных </w:t>
      </w: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lastRenderedPageBreak/>
        <w:t xml:space="preserve">гарантий и государственного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рекредитования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, опубликованных на веб-странице Министерства финансов.</w:t>
      </w:r>
    </w:p>
    <w:p w:rsidR="00323204" w:rsidRPr="00FA722E" w:rsidRDefault="00323204" w:rsidP="00323204">
      <w:pPr>
        <w:keepNext/>
        <w:tabs>
          <w:tab w:val="left" w:pos="567"/>
        </w:tabs>
        <w:spacing w:after="160" w:line="259" w:lineRule="auto"/>
        <w:ind w:firstLine="0"/>
        <w:contextualSpacing/>
        <w:outlineLvl w:val="0"/>
        <w:rPr>
          <w:rFonts w:eastAsia="Calibri"/>
          <w:color w:val="000000"/>
          <w:kern w:val="32"/>
          <w:sz w:val="24"/>
          <w:szCs w:val="24"/>
          <w:lang w:eastAsia="ru-RU"/>
        </w:rPr>
      </w:pPr>
    </w:p>
    <w:p w:rsidR="00323204" w:rsidRPr="00FA722E" w:rsidRDefault="00323204" w:rsidP="00323204">
      <w:pPr>
        <w:keepNext/>
        <w:tabs>
          <w:tab w:val="left" w:pos="567"/>
        </w:tabs>
        <w:spacing w:after="160" w:line="259" w:lineRule="auto"/>
        <w:ind w:firstLine="0"/>
        <w:contextualSpacing/>
        <w:jc w:val="center"/>
        <w:outlineLvl w:val="0"/>
        <w:rPr>
          <w:rFonts w:eastAsia="Calibri"/>
          <w:b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b/>
          <w:color w:val="000000"/>
          <w:kern w:val="32"/>
          <w:sz w:val="24"/>
          <w:szCs w:val="24"/>
          <w:lang w:eastAsia="ru-RU"/>
        </w:rPr>
        <w:t>II.</w:t>
      </w:r>
      <w:r w:rsidRPr="00FA722E">
        <w:rPr>
          <w:rFonts w:eastAsia="Calibri"/>
          <w:color w:val="000000"/>
          <w:kern w:val="32"/>
          <w:sz w:val="24"/>
          <w:szCs w:val="24"/>
          <w:lang w:eastAsia="ru-RU"/>
        </w:rPr>
        <w:t xml:space="preserve"> </w:t>
      </w:r>
      <w:r w:rsidRPr="00FA722E">
        <w:rPr>
          <w:rFonts w:eastAsia="Calibri"/>
          <w:b/>
          <w:color w:val="000000"/>
          <w:kern w:val="32"/>
          <w:sz w:val="24"/>
          <w:szCs w:val="24"/>
          <w:lang w:eastAsia="ru-RU"/>
        </w:rPr>
        <w:t xml:space="preserve">ЦЕЛИ УПРАВЛЕНИЯ </w:t>
      </w:r>
      <w:proofErr w:type="gramStart"/>
      <w:r w:rsidRPr="00FA722E">
        <w:rPr>
          <w:rFonts w:eastAsia="Calibri"/>
          <w:b/>
          <w:color w:val="000000"/>
          <w:kern w:val="32"/>
          <w:sz w:val="24"/>
          <w:szCs w:val="24"/>
          <w:lang w:eastAsia="ru-RU"/>
        </w:rPr>
        <w:t>ГОСУДАРСТВЕННЫМ</w:t>
      </w:r>
      <w:proofErr w:type="gramEnd"/>
      <w:r w:rsidRPr="00FA722E">
        <w:rPr>
          <w:rFonts w:eastAsia="Calibri"/>
          <w:b/>
          <w:color w:val="000000"/>
          <w:kern w:val="32"/>
          <w:sz w:val="24"/>
          <w:szCs w:val="24"/>
          <w:lang w:eastAsia="ru-RU"/>
        </w:rPr>
        <w:t xml:space="preserve"> </w:t>
      </w:r>
    </w:p>
    <w:p w:rsidR="00323204" w:rsidRPr="00FA722E" w:rsidRDefault="00323204" w:rsidP="00323204">
      <w:pPr>
        <w:keepNext/>
        <w:tabs>
          <w:tab w:val="left" w:pos="567"/>
        </w:tabs>
        <w:spacing w:after="160" w:line="259" w:lineRule="auto"/>
        <w:ind w:firstLine="0"/>
        <w:contextualSpacing/>
        <w:jc w:val="center"/>
        <w:outlineLvl w:val="0"/>
        <w:rPr>
          <w:rFonts w:eastAsia="Calibri"/>
          <w:b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b/>
          <w:color w:val="000000"/>
          <w:kern w:val="32"/>
          <w:sz w:val="24"/>
          <w:szCs w:val="24"/>
          <w:lang w:eastAsia="ru-RU"/>
        </w:rPr>
        <w:t>ДОЛГОМ НА 2019-2021 ГОДЫ</w:t>
      </w:r>
    </w:p>
    <w:p w:rsidR="00323204" w:rsidRPr="00FA722E" w:rsidRDefault="00323204" w:rsidP="00323204">
      <w:pPr>
        <w:keepNext/>
        <w:tabs>
          <w:tab w:val="left" w:pos="567"/>
        </w:tabs>
        <w:ind w:firstLine="0"/>
        <w:outlineLvl w:val="0"/>
        <w:rPr>
          <w:rFonts w:eastAsia="Calibri"/>
          <w:b/>
          <w:i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b/>
          <w:i/>
          <w:color w:val="000000"/>
          <w:kern w:val="32"/>
          <w:sz w:val="24"/>
          <w:szCs w:val="24"/>
          <w:lang w:eastAsia="ru-RU"/>
        </w:rPr>
        <w:tab/>
      </w:r>
    </w:p>
    <w:p w:rsidR="00323204" w:rsidRPr="00FA722E" w:rsidRDefault="00323204" w:rsidP="00323204">
      <w:pPr>
        <w:keepNext/>
        <w:tabs>
          <w:tab w:val="left" w:pos="567"/>
          <w:tab w:val="left" w:pos="993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Основной целью управления государственным долгом является обеспечение потребностей в финансировании остатка (дефицита) государственного бюджета на приемлемом для расходов уровне в среднесрочной и долгосрочной перспективе в условиях ограничения сопутствующих рисков.</w:t>
      </w:r>
    </w:p>
    <w:p w:rsidR="00323204" w:rsidRPr="00FA722E" w:rsidRDefault="00323204" w:rsidP="00323204">
      <w:pPr>
        <w:keepNext/>
        <w:tabs>
          <w:tab w:val="left" w:pos="567"/>
          <w:tab w:val="left" w:pos="993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ab/>
        <w:t>Конкретные цели</w:t>
      </w:r>
      <w:r w:rsidRPr="00FA722E">
        <w:rPr>
          <w:rFonts w:eastAsia="Calibri"/>
          <w:b/>
          <w:i/>
          <w:color w:val="000000"/>
          <w:kern w:val="32"/>
          <w:sz w:val="27"/>
          <w:szCs w:val="27"/>
          <w:lang w:eastAsia="ru-RU"/>
        </w:rPr>
        <w:t xml:space="preserve"> </w:t>
      </w: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управления государственным долгом на период 2019-2021 годов следующие:</w:t>
      </w:r>
    </w:p>
    <w:p w:rsidR="00323204" w:rsidRPr="00FA722E" w:rsidRDefault="00323204" w:rsidP="00323204">
      <w:pPr>
        <w:keepNext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развитие внутреннего рынка государственных ценных бумаг (ГЦБ);</w:t>
      </w:r>
    </w:p>
    <w:p w:rsidR="00323204" w:rsidRPr="00FA722E" w:rsidRDefault="00323204" w:rsidP="00323204">
      <w:pPr>
        <w:keepNext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получение внешних государственных займов, с учетом соотношения стоимости и риска;</w:t>
      </w:r>
    </w:p>
    <w:p w:rsidR="00323204" w:rsidRPr="00FA722E" w:rsidRDefault="00323204" w:rsidP="00323204">
      <w:pPr>
        <w:keepNext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управление операционным риском, связанным с государственным долгом.</w:t>
      </w:r>
    </w:p>
    <w:p w:rsidR="00323204" w:rsidRPr="00FA722E" w:rsidRDefault="00323204" w:rsidP="00323204">
      <w:pPr>
        <w:keepNext/>
        <w:tabs>
          <w:tab w:val="left" w:pos="567"/>
          <w:tab w:val="left" w:pos="993"/>
          <w:tab w:val="left" w:pos="1134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Для достижения предложенных целей Министерство финансов предпримет следующие действия</w:t>
      </w:r>
      <w:r w:rsidRPr="00FA722E">
        <w:rPr>
          <w:rFonts w:eastAsia="Calibri"/>
          <w:b/>
          <w:i/>
          <w:color w:val="000000"/>
          <w:kern w:val="32"/>
          <w:sz w:val="27"/>
          <w:szCs w:val="27"/>
          <w:lang w:eastAsia="ru-RU"/>
        </w:rPr>
        <w:t>:</w:t>
      </w:r>
    </w:p>
    <w:p w:rsidR="00323204" w:rsidRPr="00FA722E" w:rsidRDefault="00323204" w:rsidP="00323204">
      <w:pPr>
        <w:keepNext/>
        <w:numPr>
          <w:ilvl w:val="0"/>
          <w:numId w:val="15"/>
        </w:numPr>
        <w:tabs>
          <w:tab w:val="left" w:pos="567"/>
          <w:tab w:val="left" w:pos="993"/>
          <w:tab w:val="left" w:pos="1134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контроль портфеля государственного долга путем ограничения подверженности воздействию валютного риска, риска рефинансирования  и риска процентной ставки;</w:t>
      </w:r>
    </w:p>
    <w:p w:rsidR="00323204" w:rsidRPr="00FA722E" w:rsidRDefault="00323204" w:rsidP="00323204">
      <w:pPr>
        <w:keepNext/>
        <w:numPr>
          <w:ilvl w:val="0"/>
          <w:numId w:val="15"/>
        </w:numPr>
        <w:tabs>
          <w:tab w:val="left" w:pos="567"/>
          <w:tab w:val="left" w:pos="993"/>
          <w:tab w:val="left" w:pos="1134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управление портфелем государственного долга с целью уменьшения рисков, связанных с портфелем государственного долга, и достижения его оптимальной структуры, с учетом соотношения стоимости/риска;</w:t>
      </w:r>
    </w:p>
    <w:p w:rsidR="00323204" w:rsidRPr="00FA722E" w:rsidRDefault="00323204" w:rsidP="00323204">
      <w:pPr>
        <w:keepNext/>
        <w:numPr>
          <w:ilvl w:val="0"/>
          <w:numId w:val="15"/>
        </w:numPr>
        <w:tabs>
          <w:tab w:val="left" w:pos="567"/>
          <w:tab w:val="left" w:pos="993"/>
          <w:tab w:val="left" w:pos="1134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продление срока погашения портфеля долга и диверсификация инвестиционной базы;</w:t>
      </w:r>
    </w:p>
    <w:p w:rsidR="00323204" w:rsidRPr="00FA722E" w:rsidRDefault="00323204" w:rsidP="00323204">
      <w:pPr>
        <w:keepNext/>
        <w:numPr>
          <w:ilvl w:val="0"/>
          <w:numId w:val="15"/>
        </w:numPr>
        <w:tabs>
          <w:tab w:val="left" w:pos="567"/>
          <w:tab w:val="left" w:pos="993"/>
          <w:tab w:val="left" w:pos="1134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реализация наиболее единообразного профиля погашения долга, избегая, насколько возможно, концентрации погашения краткосрочных государственных ценных бумаг;</w:t>
      </w:r>
    </w:p>
    <w:p w:rsidR="00323204" w:rsidRPr="00FA722E" w:rsidRDefault="00323204" w:rsidP="00323204">
      <w:pPr>
        <w:keepNext/>
        <w:numPr>
          <w:ilvl w:val="0"/>
          <w:numId w:val="15"/>
        </w:numPr>
        <w:tabs>
          <w:tab w:val="left" w:pos="567"/>
          <w:tab w:val="left" w:pos="993"/>
          <w:tab w:val="left" w:pos="1134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диверсификация каналов продажи ГЦБ параллельно с ростом доступности приобретения ГЦБ физическими лицами;</w:t>
      </w:r>
    </w:p>
    <w:p w:rsidR="00323204" w:rsidRPr="00FA722E" w:rsidRDefault="00323204" w:rsidP="00323204">
      <w:pPr>
        <w:keepNext/>
        <w:numPr>
          <w:ilvl w:val="0"/>
          <w:numId w:val="15"/>
        </w:numPr>
        <w:tabs>
          <w:tab w:val="left" w:pos="567"/>
          <w:tab w:val="left" w:pos="993"/>
          <w:tab w:val="left" w:pos="1134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обеспечение высокой степени прозрачности и прогнозируемости рынка ГЦБ;</w:t>
      </w:r>
    </w:p>
    <w:p w:rsidR="00323204" w:rsidRPr="00FA722E" w:rsidRDefault="00323204" w:rsidP="00323204">
      <w:pPr>
        <w:keepNext/>
        <w:numPr>
          <w:ilvl w:val="0"/>
          <w:numId w:val="15"/>
        </w:numPr>
        <w:tabs>
          <w:tab w:val="left" w:pos="567"/>
          <w:tab w:val="left" w:pos="993"/>
          <w:tab w:val="left" w:pos="1134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мониторинг и оценка результатов деятельности первичных дилеров; </w:t>
      </w:r>
    </w:p>
    <w:p w:rsidR="00323204" w:rsidRPr="00FA722E" w:rsidRDefault="00323204" w:rsidP="00323204">
      <w:pPr>
        <w:keepNext/>
        <w:numPr>
          <w:ilvl w:val="0"/>
          <w:numId w:val="15"/>
        </w:numPr>
        <w:tabs>
          <w:tab w:val="left" w:pos="567"/>
          <w:tab w:val="left" w:pos="993"/>
          <w:tab w:val="left" w:pos="1134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выявление новых финансовых сре</w:t>
      </w: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дств дл</w:t>
      </w:r>
      <w:proofErr w:type="gram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я финансирования дефицита бюджета и ведение переговоров о новых внешних договорах займа на выгодных финансовых условиях (например, касательно срока погашения, процентной ставки и т.д.);</w:t>
      </w:r>
    </w:p>
    <w:p w:rsidR="00323204" w:rsidRPr="00FA722E" w:rsidRDefault="00323204" w:rsidP="00323204">
      <w:pPr>
        <w:keepNext/>
        <w:numPr>
          <w:ilvl w:val="0"/>
          <w:numId w:val="15"/>
        </w:numPr>
        <w:tabs>
          <w:tab w:val="left" w:pos="567"/>
          <w:tab w:val="left" w:pos="993"/>
          <w:tab w:val="left" w:pos="1134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пересмотр Плана управления операционным риском одновременно с обновлением </w:t>
      </w: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Плана действий Управления публичного долга Министерства финансов</w:t>
      </w:r>
      <w:proofErr w:type="gram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.</w:t>
      </w:r>
    </w:p>
    <w:p w:rsidR="00323204" w:rsidRPr="00FA722E" w:rsidRDefault="00323204" w:rsidP="00323204">
      <w:pPr>
        <w:keepNext/>
        <w:tabs>
          <w:tab w:val="left" w:pos="567"/>
        </w:tabs>
        <w:ind w:left="567" w:firstLine="0"/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</w:p>
    <w:p w:rsidR="00323204" w:rsidRPr="00FA722E" w:rsidRDefault="00323204" w:rsidP="00323204">
      <w:pPr>
        <w:keepNext/>
        <w:tabs>
          <w:tab w:val="left" w:pos="567"/>
        </w:tabs>
        <w:spacing w:after="160" w:line="259" w:lineRule="auto"/>
        <w:ind w:firstLine="0"/>
        <w:contextualSpacing/>
        <w:jc w:val="center"/>
        <w:outlineLvl w:val="0"/>
        <w:rPr>
          <w:rFonts w:eastAsia="Calibri"/>
          <w:b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b/>
          <w:color w:val="000000"/>
          <w:kern w:val="32"/>
          <w:sz w:val="24"/>
          <w:szCs w:val="24"/>
          <w:lang w:eastAsia="ru-RU"/>
        </w:rPr>
        <w:t>III. СТРАТЕГИИ ФИНАНСИРОВАНИЯ ОСТАТКА (ДЕФИЦИТА) ГОСУДАРСТВЕННОГО ДОЛГА</w:t>
      </w:r>
    </w:p>
    <w:p w:rsidR="00323204" w:rsidRPr="00FA722E" w:rsidRDefault="00323204" w:rsidP="00323204">
      <w:pPr>
        <w:keepNext/>
        <w:tabs>
          <w:tab w:val="left" w:pos="567"/>
          <w:tab w:val="left" w:pos="993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4"/>
          <w:szCs w:val="24"/>
          <w:lang w:eastAsia="ru-RU"/>
        </w:rPr>
        <w:lastRenderedPageBreak/>
        <w:tab/>
      </w: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Макроэкономические предположения Программы на период 2019-2021 годов представлены в таблице 2.</w:t>
      </w:r>
    </w:p>
    <w:p w:rsidR="00323204" w:rsidRPr="00FA722E" w:rsidRDefault="00323204" w:rsidP="00323204">
      <w:pPr>
        <w:keepNext/>
        <w:tabs>
          <w:tab w:val="left" w:pos="567"/>
        </w:tabs>
        <w:ind w:firstLine="0"/>
        <w:jc w:val="right"/>
        <w:outlineLvl w:val="0"/>
        <w:rPr>
          <w:rFonts w:eastAsia="Calibri"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color w:val="000000"/>
          <w:kern w:val="32"/>
          <w:sz w:val="24"/>
          <w:szCs w:val="24"/>
          <w:lang w:eastAsia="ru-RU"/>
        </w:rPr>
        <w:t>Таблица 2</w:t>
      </w:r>
    </w:p>
    <w:p w:rsidR="00323204" w:rsidRPr="00FA722E" w:rsidRDefault="00323204" w:rsidP="00323204">
      <w:pPr>
        <w:keepNext/>
        <w:tabs>
          <w:tab w:val="left" w:pos="567"/>
        </w:tabs>
        <w:ind w:firstLine="0"/>
        <w:jc w:val="center"/>
        <w:outlineLvl w:val="0"/>
        <w:rPr>
          <w:rFonts w:eastAsia="Calibri"/>
          <w:b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b/>
          <w:color w:val="000000"/>
          <w:kern w:val="32"/>
          <w:sz w:val="24"/>
          <w:szCs w:val="24"/>
          <w:lang w:eastAsia="ru-RU"/>
        </w:rPr>
        <w:t>Прогноз макроэкономических показателей</w:t>
      </w:r>
    </w:p>
    <w:p w:rsidR="00323204" w:rsidRPr="00FA722E" w:rsidRDefault="00323204" w:rsidP="00323204">
      <w:pPr>
        <w:keepNext/>
        <w:tabs>
          <w:tab w:val="left" w:pos="567"/>
        </w:tabs>
        <w:ind w:firstLine="0"/>
        <w:jc w:val="center"/>
        <w:outlineLvl w:val="0"/>
        <w:rPr>
          <w:rFonts w:eastAsia="Calibri"/>
          <w:b/>
          <w:color w:val="000000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1178"/>
        <w:gridCol w:w="983"/>
        <w:gridCol w:w="983"/>
        <w:gridCol w:w="984"/>
        <w:gridCol w:w="977"/>
      </w:tblGrid>
      <w:tr w:rsidR="00323204" w:rsidRPr="00FA722E" w:rsidTr="0084692D">
        <w:trPr>
          <w:trHeight w:val="170"/>
        </w:trPr>
        <w:tc>
          <w:tcPr>
            <w:tcW w:w="2273" w:type="pct"/>
            <w:vMerge w:val="restart"/>
            <w:shd w:val="clear" w:color="auto" w:fill="B8CCE4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07" w:type="pct"/>
            <w:shd w:val="clear" w:color="auto" w:fill="B8CCE4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531" w:type="pct"/>
            <w:shd w:val="clear" w:color="auto" w:fill="B8CCE4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531" w:type="pct"/>
            <w:shd w:val="clear" w:color="auto" w:fill="B8CCE4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531" w:type="pct"/>
            <w:shd w:val="clear" w:color="auto" w:fill="B8CCE4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528" w:type="pct"/>
            <w:shd w:val="clear" w:color="auto" w:fill="B8CCE4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  <w:t>2021г.</w:t>
            </w:r>
          </w:p>
        </w:tc>
      </w:tr>
      <w:tr w:rsidR="00323204" w:rsidRPr="00FA722E" w:rsidTr="0084692D">
        <w:trPr>
          <w:trHeight w:val="105"/>
        </w:trPr>
        <w:tc>
          <w:tcPr>
            <w:tcW w:w="2273" w:type="pct"/>
            <w:vMerge/>
            <w:shd w:val="clear" w:color="auto" w:fill="B8CCE4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B8CCE4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21" w:type="pct"/>
            <w:gridSpan w:val="4"/>
            <w:shd w:val="clear" w:color="auto" w:fill="B8CCE4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  <w:t>прогнозируемый</w:t>
            </w:r>
          </w:p>
        </w:tc>
      </w:tr>
      <w:tr w:rsidR="00323204" w:rsidRPr="00FA722E" w:rsidTr="0084692D">
        <w:tc>
          <w:tcPr>
            <w:tcW w:w="2273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left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 xml:space="preserve">Валовой внутренний продукт (номинальная стоимость, </w:t>
            </w:r>
            <w:proofErr w:type="gramStart"/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млрд</w:t>
            </w:r>
            <w:proofErr w:type="gramEnd"/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 xml:space="preserve"> лей)</w:t>
            </w:r>
          </w:p>
        </w:tc>
        <w:tc>
          <w:tcPr>
            <w:tcW w:w="607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176,8</w:t>
            </w:r>
          </w:p>
        </w:tc>
        <w:tc>
          <w:tcPr>
            <w:tcW w:w="531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531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531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528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248,8</w:t>
            </w:r>
          </w:p>
        </w:tc>
      </w:tr>
      <w:tr w:rsidR="00323204" w:rsidRPr="00FA722E" w:rsidTr="0084692D">
        <w:tc>
          <w:tcPr>
            <w:tcW w:w="2273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left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Реальный коэффициент роста экономики</w:t>
            </w:r>
            <w:proofErr w:type="gramStart"/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607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31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31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31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28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3,8</w:t>
            </w:r>
          </w:p>
        </w:tc>
      </w:tr>
      <w:tr w:rsidR="00323204" w:rsidRPr="00FA722E" w:rsidTr="0084692D">
        <w:tc>
          <w:tcPr>
            <w:tcW w:w="2273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left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Индекс потребительских цен (среднегодовой</w:t>
            </w:r>
            <w:proofErr w:type="gramStart"/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, %)</w:t>
            </w:r>
            <w:proofErr w:type="gramEnd"/>
          </w:p>
        </w:tc>
        <w:tc>
          <w:tcPr>
            <w:tcW w:w="607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531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31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31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28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5,0</w:t>
            </w:r>
          </w:p>
        </w:tc>
      </w:tr>
      <w:tr w:rsidR="00323204" w:rsidRPr="00FA722E" w:rsidTr="0084692D">
        <w:tc>
          <w:tcPr>
            <w:tcW w:w="2273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left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Средний обменный курс лея к доллару США</w:t>
            </w:r>
          </w:p>
        </w:tc>
        <w:tc>
          <w:tcPr>
            <w:tcW w:w="607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18,49</w:t>
            </w:r>
          </w:p>
        </w:tc>
        <w:tc>
          <w:tcPr>
            <w:tcW w:w="531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531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531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17,97</w:t>
            </w:r>
          </w:p>
        </w:tc>
        <w:tc>
          <w:tcPr>
            <w:tcW w:w="528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18,51</w:t>
            </w:r>
          </w:p>
        </w:tc>
      </w:tr>
      <w:tr w:rsidR="00323204" w:rsidRPr="00FA722E" w:rsidTr="0084692D">
        <w:tc>
          <w:tcPr>
            <w:tcW w:w="2273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left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Средний обменный курс лея к евро</w:t>
            </w:r>
          </w:p>
        </w:tc>
        <w:tc>
          <w:tcPr>
            <w:tcW w:w="607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531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19,15</w:t>
            </w:r>
          </w:p>
        </w:tc>
        <w:tc>
          <w:tcPr>
            <w:tcW w:w="531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19,78</w:t>
            </w:r>
          </w:p>
        </w:tc>
        <w:tc>
          <w:tcPr>
            <w:tcW w:w="531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20,67</w:t>
            </w:r>
          </w:p>
        </w:tc>
        <w:tc>
          <w:tcPr>
            <w:tcW w:w="528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21,29</w:t>
            </w:r>
          </w:p>
        </w:tc>
      </w:tr>
      <w:tr w:rsidR="00323204" w:rsidRPr="00FA722E" w:rsidTr="0084692D">
        <w:tc>
          <w:tcPr>
            <w:tcW w:w="2273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left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Остаток (дефицит) государственного бюджета (% от ВВП)</w:t>
            </w:r>
          </w:p>
        </w:tc>
        <w:tc>
          <w:tcPr>
            <w:tcW w:w="607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-0,9%</w:t>
            </w:r>
          </w:p>
        </w:tc>
        <w:tc>
          <w:tcPr>
            <w:tcW w:w="531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-2,3%</w:t>
            </w:r>
          </w:p>
        </w:tc>
        <w:tc>
          <w:tcPr>
            <w:tcW w:w="531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-2,6%</w:t>
            </w:r>
          </w:p>
        </w:tc>
        <w:tc>
          <w:tcPr>
            <w:tcW w:w="531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-2,4%</w:t>
            </w:r>
          </w:p>
        </w:tc>
        <w:tc>
          <w:tcPr>
            <w:tcW w:w="528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-1,9%</w:t>
            </w:r>
          </w:p>
        </w:tc>
      </w:tr>
    </w:tbl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i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b/>
          <w:i/>
          <w:color w:val="000000"/>
          <w:kern w:val="32"/>
          <w:sz w:val="24"/>
          <w:szCs w:val="24"/>
          <w:lang w:eastAsia="ru-RU"/>
        </w:rPr>
        <w:t>*</w:t>
      </w:r>
      <w:r w:rsidRPr="00FA722E">
        <w:rPr>
          <w:rFonts w:eastAsia="Calibri"/>
          <w:i/>
          <w:color w:val="000000"/>
          <w:kern w:val="32"/>
          <w:sz w:val="24"/>
          <w:szCs w:val="24"/>
          <w:lang w:eastAsia="ru-RU"/>
        </w:rPr>
        <w:t>ВВП рассчитан согласно методологии SCN-2008/2010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i/>
          <w:color w:val="000000"/>
          <w:kern w:val="32"/>
          <w:sz w:val="24"/>
          <w:szCs w:val="24"/>
          <w:lang w:eastAsia="ru-RU"/>
        </w:rPr>
      </w:pP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Учитывая прогнозы макроэкономических показателей, остаток (дефицит) государственного бюджета на период 2019-2021 годов составит в среднем 2,3%, размещаясь в интервале (-2,6%) – (-1,9%) от ВВП.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С учетом оценки остатка (дефицита) государственного бюджета на период 2019-2021 годов, а также из существующего налогового пространства Республики Молдова, среднесрочные потребности Правительства в финансировании будут покрыты в большей степени за счет чистого финансирования из внешних и внутренних источников, что является одним из основных факторов, способствующих увеличению остатка государственного долга в номинальном значении.</w:t>
      </w:r>
      <w:proofErr w:type="gramEnd"/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Таким образом, в среднесрочной перспективе покрытие остатка (дефицита) государственного долга будет обеспечено согласно следующему основному сценарию (</w:t>
      </w:r>
      <w:r w:rsidRPr="00FA722E">
        <w:rPr>
          <w:rFonts w:eastAsia="Calibri"/>
          <w:b/>
          <w:color w:val="000000"/>
          <w:kern w:val="32"/>
          <w:sz w:val="27"/>
          <w:szCs w:val="27"/>
          <w:lang w:eastAsia="ru-RU"/>
        </w:rPr>
        <w:t>S1)</w:t>
      </w: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:</w:t>
      </w:r>
    </w:p>
    <w:p w:rsidR="00323204" w:rsidRDefault="00323204" w:rsidP="00323204">
      <w:pPr>
        <w:keepNext/>
        <w:tabs>
          <w:tab w:val="left" w:pos="567"/>
        </w:tabs>
        <w:ind w:firstLine="0"/>
        <w:jc w:val="right"/>
        <w:outlineLvl w:val="0"/>
        <w:rPr>
          <w:rFonts w:eastAsia="Calibri"/>
          <w:color w:val="000000"/>
          <w:kern w:val="32"/>
          <w:sz w:val="24"/>
          <w:szCs w:val="24"/>
          <w:lang w:eastAsia="ru-RU"/>
        </w:rPr>
      </w:pPr>
    </w:p>
    <w:p w:rsidR="00323204" w:rsidRDefault="00323204" w:rsidP="00323204">
      <w:pPr>
        <w:keepNext/>
        <w:tabs>
          <w:tab w:val="left" w:pos="567"/>
        </w:tabs>
        <w:ind w:firstLine="0"/>
        <w:jc w:val="right"/>
        <w:outlineLvl w:val="0"/>
        <w:rPr>
          <w:rFonts w:eastAsia="Calibri"/>
          <w:color w:val="000000"/>
          <w:kern w:val="32"/>
          <w:sz w:val="24"/>
          <w:szCs w:val="24"/>
          <w:lang w:eastAsia="ru-RU"/>
        </w:rPr>
      </w:pPr>
    </w:p>
    <w:p w:rsidR="00323204" w:rsidRDefault="00323204" w:rsidP="00323204">
      <w:pPr>
        <w:keepNext/>
        <w:tabs>
          <w:tab w:val="left" w:pos="567"/>
        </w:tabs>
        <w:ind w:firstLine="0"/>
        <w:jc w:val="right"/>
        <w:outlineLvl w:val="0"/>
        <w:rPr>
          <w:rFonts w:eastAsia="Calibri"/>
          <w:color w:val="000000"/>
          <w:kern w:val="32"/>
          <w:sz w:val="24"/>
          <w:szCs w:val="24"/>
          <w:lang w:eastAsia="ru-RU"/>
        </w:rPr>
      </w:pPr>
    </w:p>
    <w:p w:rsidR="00323204" w:rsidRDefault="00323204" w:rsidP="00323204">
      <w:pPr>
        <w:keepNext/>
        <w:tabs>
          <w:tab w:val="left" w:pos="567"/>
        </w:tabs>
        <w:ind w:firstLine="0"/>
        <w:jc w:val="right"/>
        <w:outlineLvl w:val="0"/>
        <w:rPr>
          <w:rFonts w:eastAsia="Calibri"/>
          <w:color w:val="000000"/>
          <w:kern w:val="32"/>
          <w:sz w:val="24"/>
          <w:szCs w:val="24"/>
          <w:lang w:eastAsia="ru-RU"/>
        </w:rPr>
      </w:pPr>
    </w:p>
    <w:p w:rsidR="00323204" w:rsidRPr="00FA722E" w:rsidRDefault="00323204" w:rsidP="00323204">
      <w:pPr>
        <w:keepNext/>
        <w:tabs>
          <w:tab w:val="left" w:pos="567"/>
        </w:tabs>
        <w:ind w:firstLine="0"/>
        <w:jc w:val="right"/>
        <w:outlineLvl w:val="0"/>
        <w:rPr>
          <w:rFonts w:eastAsia="Calibri"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color w:val="000000"/>
          <w:kern w:val="32"/>
          <w:sz w:val="24"/>
          <w:szCs w:val="24"/>
          <w:lang w:eastAsia="ru-RU"/>
        </w:rPr>
        <w:t>Таблица 3</w:t>
      </w:r>
    </w:p>
    <w:p w:rsidR="00323204" w:rsidRPr="00FA722E" w:rsidRDefault="00323204" w:rsidP="00323204">
      <w:pPr>
        <w:keepNext/>
        <w:tabs>
          <w:tab w:val="left" w:pos="567"/>
        </w:tabs>
        <w:ind w:firstLine="0"/>
        <w:jc w:val="center"/>
        <w:outlineLvl w:val="0"/>
        <w:rPr>
          <w:rFonts w:eastAsia="Calibri"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b/>
          <w:color w:val="000000"/>
          <w:kern w:val="32"/>
          <w:sz w:val="24"/>
          <w:szCs w:val="24"/>
          <w:lang w:eastAsia="ru-RU"/>
        </w:rPr>
        <w:t>Прогноз источников финансирования в качестве доли в Валовом внутреннем продукте, 2019-2021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1134"/>
        <w:gridCol w:w="1134"/>
        <w:gridCol w:w="1127"/>
      </w:tblGrid>
      <w:tr w:rsidR="00323204" w:rsidRPr="00FA722E" w:rsidTr="0084692D">
        <w:tc>
          <w:tcPr>
            <w:tcW w:w="2349" w:type="pct"/>
            <w:shd w:val="clear" w:color="auto" w:fill="B8CCE4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34" w:type="pct"/>
            <w:shd w:val="clear" w:color="auto" w:fill="B8CCE4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7" w:type="pct"/>
            <w:shd w:val="clear" w:color="auto" w:fill="B8CCE4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607" w:type="pct"/>
            <w:shd w:val="clear" w:color="auto" w:fill="B8CCE4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604" w:type="pct"/>
            <w:shd w:val="clear" w:color="auto" w:fill="B8CCE4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  <w:t>2021г.</w:t>
            </w:r>
          </w:p>
        </w:tc>
      </w:tr>
      <w:tr w:rsidR="00323204" w:rsidRPr="00FA722E" w:rsidTr="0084692D">
        <w:tc>
          <w:tcPr>
            <w:tcW w:w="2349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left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Финансовые активы и другие источники финансирования</w:t>
            </w:r>
          </w:p>
        </w:tc>
        <w:tc>
          <w:tcPr>
            <w:tcW w:w="834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% от ВВП</w:t>
            </w:r>
          </w:p>
        </w:tc>
        <w:tc>
          <w:tcPr>
            <w:tcW w:w="607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-0,6%</w:t>
            </w:r>
          </w:p>
        </w:tc>
        <w:tc>
          <w:tcPr>
            <w:tcW w:w="607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-0,4%</w:t>
            </w:r>
          </w:p>
        </w:tc>
        <w:tc>
          <w:tcPr>
            <w:tcW w:w="604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0,0%</w:t>
            </w:r>
          </w:p>
        </w:tc>
      </w:tr>
      <w:tr w:rsidR="00323204" w:rsidRPr="00FA722E" w:rsidTr="0084692D">
        <w:tc>
          <w:tcPr>
            <w:tcW w:w="2349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left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Чистое финансирование, из которого:</w:t>
            </w:r>
          </w:p>
        </w:tc>
        <w:tc>
          <w:tcPr>
            <w:tcW w:w="834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% от ВВП</w:t>
            </w:r>
          </w:p>
        </w:tc>
        <w:tc>
          <w:tcPr>
            <w:tcW w:w="607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3,2%</w:t>
            </w:r>
          </w:p>
        </w:tc>
        <w:tc>
          <w:tcPr>
            <w:tcW w:w="607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2,8%</w:t>
            </w:r>
          </w:p>
        </w:tc>
        <w:tc>
          <w:tcPr>
            <w:tcW w:w="604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1,9%</w:t>
            </w:r>
          </w:p>
        </w:tc>
      </w:tr>
      <w:tr w:rsidR="00323204" w:rsidRPr="00FA722E" w:rsidTr="0084692D">
        <w:tc>
          <w:tcPr>
            <w:tcW w:w="2349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left="454" w:firstLine="0"/>
              <w:jc w:val="left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внутреннее</w:t>
            </w:r>
          </w:p>
        </w:tc>
        <w:tc>
          <w:tcPr>
            <w:tcW w:w="834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% от ВВП</w:t>
            </w:r>
          </w:p>
        </w:tc>
        <w:tc>
          <w:tcPr>
            <w:tcW w:w="607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1,2%</w:t>
            </w:r>
          </w:p>
        </w:tc>
        <w:tc>
          <w:tcPr>
            <w:tcW w:w="607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1,2%</w:t>
            </w:r>
          </w:p>
        </w:tc>
        <w:tc>
          <w:tcPr>
            <w:tcW w:w="604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1,1%</w:t>
            </w:r>
          </w:p>
        </w:tc>
      </w:tr>
      <w:tr w:rsidR="00323204" w:rsidRPr="00FA722E" w:rsidTr="0084692D">
        <w:tc>
          <w:tcPr>
            <w:tcW w:w="2349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left="454" w:firstLine="0"/>
              <w:jc w:val="left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внешнее</w:t>
            </w:r>
          </w:p>
        </w:tc>
        <w:tc>
          <w:tcPr>
            <w:tcW w:w="834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% от ВВП</w:t>
            </w:r>
          </w:p>
        </w:tc>
        <w:tc>
          <w:tcPr>
            <w:tcW w:w="607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2,0%</w:t>
            </w:r>
          </w:p>
        </w:tc>
        <w:tc>
          <w:tcPr>
            <w:tcW w:w="607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1,6%</w:t>
            </w:r>
          </w:p>
        </w:tc>
        <w:tc>
          <w:tcPr>
            <w:tcW w:w="604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0,9%</w:t>
            </w:r>
          </w:p>
        </w:tc>
      </w:tr>
      <w:tr w:rsidR="00323204" w:rsidRPr="00FA722E" w:rsidTr="0084692D">
        <w:tc>
          <w:tcPr>
            <w:tcW w:w="2349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left"/>
              <w:outlineLvl w:val="0"/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  <w:t>Бюджетный остаток</w:t>
            </w:r>
          </w:p>
        </w:tc>
        <w:tc>
          <w:tcPr>
            <w:tcW w:w="834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  <w:t>% от ВВП</w:t>
            </w:r>
          </w:p>
        </w:tc>
        <w:tc>
          <w:tcPr>
            <w:tcW w:w="607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  <w:t>-2,6%</w:t>
            </w:r>
          </w:p>
        </w:tc>
        <w:tc>
          <w:tcPr>
            <w:tcW w:w="607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  <w:t>-2,4%</w:t>
            </w:r>
          </w:p>
        </w:tc>
        <w:tc>
          <w:tcPr>
            <w:tcW w:w="604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color w:val="000000"/>
                <w:kern w:val="32"/>
                <w:sz w:val="24"/>
                <w:szCs w:val="24"/>
                <w:lang w:eastAsia="ru-RU"/>
              </w:rPr>
              <w:t>-1,9%</w:t>
            </w:r>
          </w:p>
        </w:tc>
      </w:tr>
    </w:tbl>
    <w:p w:rsidR="00323204" w:rsidRPr="00FA722E" w:rsidRDefault="00323204" w:rsidP="00323204">
      <w:pPr>
        <w:keepNext/>
        <w:tabs>
          <w:tab w:val="left" w:pos="567"/>
        </w:tabs>
        <w:ind w:firstLine="0"/>
        <w:jc w:val="left"/>
        <w:outlineLvl w:val="0"/>
        <w:rPr>
          <w:rFonts w:eastAsia="Calibri"/>
          <w:color w:val="000000"/>
          <w:kern w:val="32"/>
          <w:sz w:val="24"/>
          <w:szCs w:val="24"/>
          <w:lang w:eastAsia="ru-RU"/>
        </w:rPr>
      </w:pP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Следует отметить, что в среднесрочной перспективе преобладает тенденция покрытия остатка (дефицита) государственного бюджета преимущественно из внешних источников. Данное развитие указывает на </w:t>
      </w: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lastRenderedPageBreak/>
        <w:t>значительную зависимость Республики Молдова от внешних кредиторов и, косвенно, от финансовых и структурных условий доступа к внешним фондам.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В период 2019-2021 годов предполагается, что Правительство получит поступления от внешних государственных займов, которые будут направлены в среднем в размере 25,0% на поддержку бюджета, а около 75,0% –на финансирование инвестиционных проектов.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В данный период 20,0% от внешних государственных займов будут предоставлены двусторонними учреждениями, а остальные 80,0%– многосторонними учреждениями. 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Структура внешнего финансирования по категориям инструментов в среднесрочной перспективе представлена в таблице 4.</w:t>
      </w:r>
    </w:p>
    <w:p w:rsidR="00323204" w:rsidRPr="00FA722E" w:rsidRDefault="00323204" w:rsidP="00323204">
      <w:pPr>
        <w:keepNext/>
        <w:tabs>
          <w:tab w:val="left" w:pos="567"/>
        </w:tabs>
        <w:ind w:firstLine="0"/>
        <w:jc w:val="right"/>
        <w:outlineLvl w:val="0"/>
        <w:rPr>
          <w:rFonts w:eastAsia="Calibri"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color w:val="000000"/>
          <w:kern w:val="32"/>
          <w:sz w:val="24"/>
          <w:szCs w:val="24"/>
          <w:lang w:eastAsia="ru-RU"/>
        </w:rPr>
        <w:t>Таблица 4</w:t>
      </w:r>
    </w:p>
    <w:p w:rsidR="00323204" w:rsidRPr="00FA722E" w:rsidRDefault="00323204" w:rsidP="00323204">
      <w:pPr>
        <w:keepNext/>
        <w:tabs>
          <w:tab w:val="left" w:pos="567"/>
        </w:tabs>
        <w:ind w:firstLine="0"/>
        <w:jc w:val="center"/>
        <w:outlineLvl w:val="0"/>
        <w:rPr>
          <w:rFonts w:eastAsia="Calibri"/>
          <w:b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b/>
          <w:color w:val="000000"/>
          <w:kern w:val="32"/>
          <w:sz w:val="24"/>
          <w:szCs w:val="24"/>
          <w:lang w:eastAsia="ru-RU"/>
        </w:rPr>
        <w:t>Внешнее финансирование в период 2019-2021 годов</w:t>
      </w:r>
    </w:p>
    <w:p w:rsidR="00323204" w:rsidRPr="00FA722E" w:rsidRDefault="00323204" w:rsidP="00323204">
      <w:pPr>
        <w:keepNext/>
        <w:tabs>
          <w:tab w:val="left" w:pos="567"/>
        </w:tabs>
        <w:ind w:firstLine="0"/>
        <w:jc w:val="center"/>
        <w:outlineLvl w:val="0"/>
        <w:rPr>
          <w:rFonts w:eastAsia="Calibri"/>
          <w:b/>
          <w:color w:val="000000"/>
          <w:kern w:val="32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1"/>
        <w:gridCol w:w="1368"/>
        <w:gridCol w:w="865"/>
        <w:gridCol w:w="865"/>
        <w:gridCol w:w="865"/>
      </w:tblGrid>
      <w:tr w:rsidR="00323204" w:rsidRPr="00FA722E" w:rsidTr="0084692D">
        <w:trPr>
          <w:trHeight w:val="255"/>
        </w:trPr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</w:tr>
      <w:tr w:rsidR="00323204" w:rsidRPr="00FA722E" w:rsidTr="0084692D">
        <w:trPr>
          <w:trHeight w:val="255"/>
        </w:trPr>
        <w:tc>
          <w:tcPr>
            <w:tcW w:w="2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04" w:rsidRPr="00FA722E" w:rsidRDefault="00323204" w:rsidP="0084692D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Валовое внешнее финансирование, в том числе: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% от ВВП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3,1%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2,9%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2,0%</w:t>
            </w:r>
          </w:p>
        </w:tc>
      </w:tr>
      <w:tr w:rsidR="00323204" w:rsidRPr="00FA722E" w:rsidTr="0084692D">
        <w:trPr>
          <w:trHeight w:val="255"/>
        </w:trPr>
        <w:tc>
          <w:tcPr>
            <w:tcW w:w="2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04" w:rsidRPr="00FA722E" w:rsidRDefault="00323204" w:rsidP="0084692D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Займы от многосторонних кредиторов на концессионных условиях (фиксированная процентная ставка)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% от 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1,8%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1,3%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1,3%</w:t>
            </w:r>
          </w:p>
        </w:tc>
      </w:tr>
      <w:tr w:rsidR="00323204" w:rsidRPr="00FA722E" w:rsidTr="0084692D">
        <w:trPr>
          <w:trHeight w:val="255"/>
        </w:trPr>
        <w:tc>
          <w:tcPr>
            <w:tcW w:w="2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04" w:rsidRPr="00FA722E" w:rsidRDefault="00323204" w:rsidP="0084692D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Займы от многосторонних кредиторов на </w:t>
            </w:r>
            <w:proofErr w:type="spellStart"/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полуконцессионных</w:t>
            </w:r>
            <w:proofErr w:type="spellEnd"/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% от 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40,3%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32,3%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23,6%</w:t>
            </w:r>
          </w:p>
        </w:tc>
      </w:tr>
      <w:tr w:rsidR="00323204" w:rsidRPr="00FA722E" w:rsidTr="0084692D">
        <w:trPr>
          <w:trHeight w:val="255"/>
        </w:trPr>
        <w:tc>
          <w:tcPr>
            <w:tcW w:w="2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04" w:rsidRPr="00FA722E" w:rsidRDefault="00323204" w:rsidP="0084692D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Займы от многосторонних кредиторов с плавающей процентной ставкой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% от 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45,7%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49,2%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43,1%</w:t>
            </w:r>
          </w:p>
        </w:tc>
      </w:tr>
      <w:tr w:rsidR="00323204" w:rsidRPr="00FA722E" w:rsidTr="0084692D">
        <w:trPr>
          <w:trHeight w:val="255"/>
        </w:trPr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04" w:rsidRPr="00FA722E" w:rsidRDefault="00323204" w:rsidP="0084692D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Займы от двусторонних кредиторов с фиксированной процентной ставкой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% от всего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0,8%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0,8%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1,0%</w:t>
            </w:r>
          </w:p>
        </w:tc>
      </w:tr>
      <w:tr w:rsidR="00323204" w:rsidRPr="00FA722E" w:rsidTr="0084692D">
        <w:trPr>
          <w:trHeight w:val="255"/>
        </w:trPr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204" w:rsidRPr="00FA722E" w:rsidRDefault="00323204" w:rsidP="0084692D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Займы от двусторонних кредиторов с плавающей процентной ставкой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% от всего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11,5%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16,4%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31,0%</w:t>
            </w:r>
          </w:p>
        </w:tc>
      </w:tr>
    </w:tbl>
    <w:p w:rsidR="00323204" w:rsidRPr="00FA722E" w:rsidRDefault="00323204" w:rsidP="00323204">
      <w:pPr>
        <w:keepNext/>
        <w:tabs>
          <w:tab w:val="left" w:pos="567"/>
          <w:tab w:val="left" w:pos="993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lastRenderedPageBreak/>
        <w:t xml:space="preserve">Тенденция увеличения доли поступлений займов от двусторонних кредиторов с плавающей процентной ставкой </w:t>
      </w: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связана</w:t>
      </w:r>
      <w:proofErr w:type="gram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особенно с прогнозированием поступлений финансовых источников со стороны Правительства Китая и Банка развития Беларуси для инвестиционных проектов, предназначенные на восстановление дорог Республики Молдова.</w:t>
      </w:r>
    </w:p>
    <w:p w:rsidR="00323204" w:rsidRPr="00FA722E" w:rsidRDefault="00323204" w:rsidP="00323204">
      <w:pPr>
        <w:keepNext/>
        <w:tabs>
          <w:tab w:val="left" w:pos="567"/>
          <w:tab w:val="left" w:pos="993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Таким образом, структура прогнозируемых поступлений источников внешнего финансирования по кредиторам выявляет самых важных кредиторов на период 2019-2021 годов, следующим образом:</w:t>
      </w:r>
    </w:p>
    <w:p w:rsidR="00323204" w:rsidRPr="00FA722E" w:rsidRDefault="00323204" w:rsidP="00323204">
      <w:pPr>
        <w:keepNext/>
        <w:numPr>
          <w:ilvl w:val="0"/>
          <w:numId w:val="16"/>
        </w:numPr>
        <w:tabs>
          <w:tab w:val="left" w:pos="567"/>
          <w:tab w:val="left" w:pos="1134"/>
        </w:tabs>
        <w:spacing w:after="160" w:line="259" w:lineRule="auto"/>
        <w:ind w:hanging="11"/>
        <w:contextualSpacing/>
        <w:jc w:val="left"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Европейский инвестиционный банк – 26,9%;</w:t>
      </w:r>
    </w:p>
    <w:p w:rsidR="00323204" w:rsidRPr="00FA722E" w:rsidRDefault="00323204" w:rsidP="00323204">
      <w:pPr>
        <w:keepNext/>
        <w:numPr>
          <w:ilvl w:val="0"/>
          <w:numId w:val="16"/>
        </w:numPr>
        <w:tabs>
          <w:tab w:val="left" w:pos="567"/>
          <w:tab w:val="left" w:pos="1134"/>
        </w:tabs>
        <w:spacing w:after="160" w:line="259" w:lineRule="auto"/>
        <w:ind w:hanging="11"/>
        <w:contextualSpacing/>
        <w:jc w:val="left"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Группа Всемирного банка – 20,8%</w:t>
      </w:r>
    </w:p>
    <w:p w:rsidR="00323204" w:rsidRPr="00FA722E" w:rsidRDefault="00323204" w:rsidP="00323204">
      <w:pPr>
        <w:keepNext/>
        <w:numPr>
          <w:ilvl w:val="0"/>
          <w:numId w:val="16"/>
        </w:numPr>
        <w:tabs>
          <w:tab w:val="left" w:pos="567"/>
          <w:tab w:val="left" w:pos="1134"/>
        </w:tabs>
        <w:spacing w:after="160" w:line="259" w:lineRule="auto"/>
        <w:ind w:hanging="11"/>
        <w:contextualSpacing/>
        <w:jc w:val="left"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Правительство Китая – 17,1%;</w:t>
      </w:r>
    </w:p>
    <w:p w:rsidR="00323204" w:rsidRPr="00FA722E" w:rsidRDefault="00323204" w:rsidP="00323204">
      <w:pPr>
        <w:keepNext/>
        <w:numPr>
          <w:ilvl w:val="0"/>
          <w:numId w:val="16"/>
        </w:numPr>
        <w:tabs>
          <w:tab w:val="left" w:pos="567"/>
          <w:tab w:val="left" w:pos="1134"/>
        </w:tabs>
        <w:spacing w:after="160" w:line="259" w:lineRule="auto"/>
        <w:ind w:hanging="11"/>
        <w:contextualSpacing/>
        <w:jc w:val="left"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Европейский банк реконструкции и развития – 16,2%;</w:t>
      </w:r>
    </w:p>
    <w:p w:rsidR="00323204" w:rsidRPr="00FA722E" w:rsidRDefault="00323204" w:rsidP="00323204">
      <w:pPr>
        <w:keepNext/>
        <w:numPr>
          <w:ilvl w:val="0"/>
          <w:numId w:val="16"/>
        </w:numPr>
        <w:tabs>
          <w:tab w:val="left" w:pos="567"/>
          <w:tab w:val="left" w:pos="1134"/>
        </w:tabs>
        <w:spacing w:after="160" w:line="259" w:lineRule="auto"/>
        <w:ind w:hanging="11"/>
        <w:contextualSpacing/>
        <w:jc w:val="left"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Европейская комиссия – 6,7%;</w:t>
      </w:r>
    </w:p>
    <w:p w:rsidR="00323204" w:rsidRPr="00FA722E" w:rsidRDefault="00323204" w:rsidP="00323204">
      <w:pPr>
        <w:keepNext/>
        <w:numPr>
          <w:ilvl w:val="0"/>
          <w:numId w:val="16"/>
        </w:numPr>
        <w:tabs>
          <w:tab w:val="left" w:pos="567"/>
          <w:tab w:val="left" w:pos="1134"/>
        </w:tabs>
        <w:spacing w:after="160" w:line="259" w:lineRule="auto"/>
        <w:ind w:hanging="11"/>
        <w:contextualSpacing/>
        <w:jc w:val="left"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Банк развития Совета Европы – 4,4%;</w:t>
      </w:r>
    </w:p>
    <w:p w:rsidR="00323204" w:rsidRPr="00FA722E" w:rsidRDefault="00323204" w:rsidP="00323204">
      <w:pPr>
        <w:keepNext/>
        <w:numPr>
          <w:ilvl w:val="0"/>
          <w:numId w:val="16"/>
        </w:numPr>
        <w:tabs>
          <w:tab w:val="left" w:pos="567"/>
          <w:tab w:val="left" w:pos="1134"/>
        </w:tabs>
        <w:spacing w:after="160" w:line="259" w:lineRule="auto"/>
        <w:ind w:hanging="11"/>
        <w:contextualSpacing/>
        <w:jc w:val="left"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Международный валютный фонд – 3,9%;</w:t>
      </w:r>
    </w:p>
    <w:p w:rsidR="00323204" w:rsidRPr="00FA722E" w:rsidRDefault="00323204" w:rsidP="00323204">
      <w:pPr>
        <w:keepNext/>
        <w:numPr>
          <w:ilvl w:val="0"/>
          <w:numId w:val="16"/>
        </w:numPr>
        <w:tabs>
          <w:tab w:val="left" w:pos="567"/>
          <w:tab w:val="left" w:pos="1134"/>
        </w:tabs>
        <w:spacing w:after="160" w:line="259" w:lineRule="auto"/>
        <w:ind w:hanging="11"/>
        <w:contextualSpacing/>
        <w:jc w:val="left"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Банк развития Беларуси – 1,7%;</w:t>
      </w:r>
    </w:p>
    <w:p w:rsidR="00323204" w:rsidRPr="00FA722E" w:rsidRDefault="00323204" w:rsidP="00323204">
      <w:pPr>
        <w:keepNext/>
        <w:numPr>
          <w:ilvl w:val="0"/>
          <w:numId w:val="16"/>
        </w:numPr>
        <w:tabs>
          <w:tab w:val="left" w:pos="567"/>
          <w:tab w:val="left" w:pos="1134"/>
        </w:tabs>
        <w:spacing w:after="160" w:line="259" w:lineRule="auto"/>
        <w:ind w:hanging="11"/>
        <w:contextualSpacing/>
        <w:jc w:val="left"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Международный фонд сельскохозяйственного развития – 1,5%;</w:t>
      </w:r>
    </w:p>
    <w:p w:rsidR="00323204" w:rsidRPr="00FA722E" w:rsidRDefault="00323204" w:rsidP="00323204">
      <w:pPr>
        <w:keepNext/>
        <w:numPr>
          <w:ilvl w:val="0"/>
          <w:numId w:val="16"/>
        </w:numPr>
        <w:tabs>
          <w:tab w:val="left" w:pos="567"/>
          <w:tab w:val="left" w:pos="1134"/>
        </w:tabs>
        <w:spacing w:after="160" w:line="259" w:lineRule="auto"/>
        <w:ind w:hanging="11"/>
        <w:contextualSpacing/>
        <w:jc w:val="left"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Правительство Польши – 0,8%.</w:t>
      </w:r>
    </w:p>
    <w:p w:rsidR="00323204" w:rsidRPr="00FA722E" w:rsidRDefault="00323204" w:rsidP="00323204">
      <w:pPr>
        <w:keepNext/>
        <w:tabs>
          <w:tab w:val="left" w:pos="567"/>
        </w:tabs>
        <w:ind w:firstLine="0"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</w:p>
    <w:p w:rsidR="00323204" w:rsidRPr="00FA722E" w:rsidRDefault="00323204" w:rsidP="00323204">
      <w:pPr>
        <w:keepNext/>
        <w:tabs>
          <w:tab w:val="left" w:pos="567"/>
          <w:tab w:val="left" w:pos="993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Деятельность на внутреннем рынке будет направлена на дальнейшее развитие рынка ГЦБ, как первичного, так и вторичного:</w:t>
      </w:r>
    </w:p>
    <w:p w:rsidR="00323204" w:rsidRPr="00FA722E" w:rsidRDefault="00323204" w:rsidP="00323204">
      <w:pPr>
        <w:keepNext/>
        <w:numPr>
          <w:ilvl w:val="0"/>
          <w:numId w:val="17"/>
        </w:numPr>
        <w:tabs>
          <w:tab w:val="left" w:pos="567"/>
          <w:tab w:val="left" w:pos="993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увеличение срока погашения ГЦБ, </w:t>
      </w: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выпущенных</w:t>
      </w:r>
      <w:proofErr w:type="gram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на рынке, и постепенное повышения доли ГЦБ с длительным сроком обращения;</w:t>
      </w:r>
    </w:p>
    <w:p w:rsidR="00323204" w:rsidRPr="00FA722E" w:rsidRDefault="00323204" w:rsidP="00323204">
      <w:pPr>
        <w:keepNext/>
        <w:numPr>
          <w:ilvl w:val="0"/>
          <w:numId w:val="17"/>
        </w:numPr>
        <w:tabs>
          <w:tab w:val="left" w:pos="567"/>
          <w:tab w:val="left" w:pos="993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продолжение выпуска государственных облигаций со сроком погашения 2 года с фиксированной и плавающей процентной ставкой, 3 и 5 лет с фиксированной процентной ставкой, а в зависимости от спроса на рынке будет проанализирована возможность выпуска государственных облигаций со сроком погашения 7 и 10 лет с фиксированной процентной ставкой;</w:t>
      </w:r>
    </w:p>
    <w:p w:rsidR="00323204" w:rsidRPr="00FA722E" w:rsidRDefault="00323204" w:rsidP="00323204">
      <w:pPr>
        <w:keepNext/>
        <w:numPr>
          <w:ilvl w:val="0"/>
          <w:numId w:val="17"/>
        </w:numPr>
        <w:tabs>
          <w:tab w:val="left" w:pos="567"/>
          <w:tab w:val="left" w:pos="993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с целью укрепления и расширения кривой доходности на внутреннем рынке ГЦБ Министерство финансов продолжит в среднесрочной перспективе операции по повторному открытию государственных ценных бумаг (</w:t>
      </w:r>
      <w:proofErr w:type="spellStart"/>
      <w:r w:rsidRPr="00FA722E">
        <w:rPr>
          <w:rFonts w:eastAsia="Calibri"/>
          <w:i/>
          <w:color w:val="000000"/>
          <w:kern w:val="32"/>
          <w:sz w:val="27"/>
          <w:szCs w:val="27"/>
          <w:lang w:eastAsia="ru-RU"/>
        </w:rPr>
        <w:t>reopening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), успешно реализованные начиная с октября 2018 года;</w:t>
      </w:r>
    </w:p>
    <w:p w:rsidR="00323204" w:rsidRPr="00FA722E" w:rsidRDefault="00323204" w:rsidP="00323204">
      <w:pPr>
        <w:keepNext/>
        <w:numPr>
          <w:ilvl w:val="0"/>
          <w:numId w:val="17"/>
        </w:numPr>
        <w:tabs>
          <w:tab w:val="left" w:pos="567"/>
          <w:tab w:val="left" w:pos="993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с 2020 года ожидается использование операций по управлению пассивами, а также досрочного выкупа (</w:t>
      </w:r>
      <w:proofErr w:type="spellStart"/>
      <w:r w:rsidRPr="00FA722E">
        <w:rPr>
          <w:rFonts w:eastAsia="Calibri"/>
          <w:i/>
          <w:color w:val="000000"/>
          <w:kern w:val="32"/>
          <w:sz w:val="27"/>
          <w:szCs w:val="27"/>
          <w:lang w:eastAsia="ru-RU"/>
        </w:rPr>
        <w:t>buy</w:t>
      </w:r>
      <w:proofErr w:type="spellEnd"/>
      <w:r w:rsidRPr="00FA722E">
        <w:rPr>
          <w:rFonts w:eastAsia="Calibri"/>
          <w:i/>
          <w:color w:val="000000"/>
          <w:kern w:val="32"/>
          <w:sz w:val="27"/>
          <w:szCs w:val="27"/>
          <w:lang w:eastAsia="ru-RU"/>
        </w:rPr>
        <w:t xml:space="preserve"> </w:t>
      </w:r>
      <w:proofErr w:type="spellStart"/>
      <w:r w:rsidRPr="00FA722E">
        <w:rPr>
          <w:rFonts w:eastAsia="Calibri"/>
          <w:i/>
          <w:color w:val="000000"/>
          <w:kern w:val="32"/>
          <w:sz w:val="27"/>
          <w:szCs w:val="27"/>
          <w:lang w:eastAsia="ru-RU"/>
        </w:rPr>
        <w:t>back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) или операций  </w:t>
      </w:r>
      <w:proofErr w:type="spellStart"/>
      <w:r w:rsidRPr="00FA722E">
        <w:rPr>
          <w:rFonts w:eastAsia="Calibri"/>
          <w:i/>
          <w:color w:val="000000"/>
          <w:kern w:val="32"/>
          <w:sz w:val="27"/>
          <w:szCs w:val="27"/>
          <w:lang w:eastAsia="ru-RU"/>
        </w:rPr>
        <w:t>switch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;</w:t>
      </w:r>
    </w:p>
    <w:p w:rsidR="00323204" w:rsidRPr="00FA722E" w:rsidRDefault="00323204" w:rsidP="00323204">
      <w:pPr>
        <w:keepNext/>
        <w:numPr>
          <w:ilvl w:val="0"/>
          <w:numId w:val="17"/>
        </w:numPr>
        <w:tabs>
          <w:tab w:val="left" w:pos="567"/>
          <w:tab w:val="left" w:pos="993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с целью повышения доступа физических лиц к приобретению ГЦБ в качестве инструментов сбережения и диверсификации каналов продажи государственных ценных бумаг в 2019 году Министерство финансов будет поддерживать  реализацию программы распространения государственных ценных бумаг среди населения посредством платформы электронной торговли (например:</w:t>
      </w:r>
      <w:proofErr w:type="gram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</w:t>
      </w:r>
      <w:proofErr w:type="spellStart"/>
      <w:proofErr w:type="gramStart"/>
      <w:r w:rsidRPr="00FA722E">
        <w:rPr>
          <w:rFonts w:eastAsia="Calibri"/>
          <w:i/>
          <w:color w:val="000000"/>
          <w:kern w:val="32"/>
          <w:sz w:val="27"/>
          <w:szCs w:val="27"/>
          <w:lang w:eastAsia="ru-RU"/>
        </w:rPr>
        <w:t>Treasury</w:t>
      </w:r>
      <w:proofErr w:type="spellEnd"/>
      <w:r w:rsidRPr="00FA722E">
        <w:rPr>
          <w:rFonts w:eastAsia="Calibri"/>
          <w:i/>
          <w:color w:val="000000"/>
          <w:kern w:val="32"/>
          <w:sz w:val="27"/>
          <w:szCs w:val="27"/>
          <w:lang w:eastAsia="ru-RU"/>
        </w:rPr>
        <w:t xml:space="preserve"> </w:t>
      </w:r>
      <w:proofErr w:type="spellStart"/>
      <w:r w:rsidRPr="00FA722E">
        <w:rPr>
          <w:rFonts w:eastAsia="Calibri"/>
          <w:i/>
          <w:color w:val="000000"/>
          <w:kern w:val="32"/>
          <w:sz w:val="27"/>
          <w:szCs w:val="27"/>
          <w:lang w:eastAsia="ru-RU"/>
        </w:rPr>
        <w:t>Direct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).</w:t>
      </w:r>
      <w:proofErr w:type="gramEnd"/>
    </w:p>
    <w:p w:rsidR="00323204" w:rsidRPr="00FA722E" w:rsidRDefault="00323204" w:rsidP="00323204">
      <w:pPr>
        <w:keepNext/>
        <w:tabs>
          <w:tab w:val="left" w:pos="567"/>
          <w:tab w:val="left" w:pos="993"/>
        </w:tabs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</w:p>
    <w:p w:rsidR="00323204" w:rsidRPr="00FA722E" w:rsidRDefault="00323204" w:rsidP="00323204">
      <w:pPr>
        <w:keepNext/>
        <w:tabs>
          <w:tab w:val="left" w:pos="567"/>
          <w:tab w:val="left" w:pos="993"/>
        </w:tabs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Структура среднесрочного внутреннего финансирования на первичном рынке представлена в таблице 5.</w:t>
      </w:r>
    </w:p>
    <w:p w:rsidR="00323204" w:rsidRPr="00FA722E" w:rsidRDefault="00323204" w:rsidP="00323204">
      <w:pPr>
        <w:keepNext/>
        <w:tabs>
          <w:tab w:val="left" w:pos="567"/>
        </w:tabs>
        <w:ind w:left="567" w:firstLine="0"/>
        <w:contextualSpacing/>
        <w:jc w:val="right"/>
        <w:outlineLvl w:val="0"/>
        <w:rPr>
          <w:rFonts w:eastAsia="Calibri"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color w:val="000000"/>
          <w:kern w:val="32"/>
          <w:sz w:val="24"/>
          <w:szCs w:val="24"/>
          <w:lang w:eastAsia="ru-RU"/>
        </w:rPr>
        <w:t>Таблица 5</w:t>
      </w:r>
    </w:p>
    <w:p w:rsidR="00323204" w:rsidRPr="00FA722E" w:rsidRDefault="00323204" w:rsidP="00323204">
      <w:pPr>
        <w:keepNext/>
        <w:tabs>
          <w:tab w:val="left" w:pos="567"/>
        </w:tabs>
        <w:ind w:left="567" w:firstLine="0"/>
        <w:contextualSpacing/>
        <w:jc w:val="center"/>
        <w:outlineLvl w:val="0"/>
        <w:rPr>
          <w:rFonts w:eastAsia="Calibri"/>
          <w:b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b/>
          <w:color w:val="000000"/>
          <w:kern w:val="32"/>
          <w:sz w:val="24"/>
          <w:szCs w:val="24"/>
          <w:lang w:eastAsia="ru-RU"/>
        </w:rPr>
        <w:t>Валовое внутреннее финансирование на первичном рынке в период 2019-2021 годов, согласно основному сценарию</w:t>
      </w:r>
    </w:p>
    <w:p w:rsidR="00323204" w:rsidRPr="00FA722E" w:rsidRDefault="00323204" w:rsidP="00323204">
      <w:pPr>
        <w:keepNext/>
        <w:tabs>
          <w:tab w:val="left" w:pos="567"/>
        </w:tabs>
        <w:ind w:left="567" w:firstLine="0"/>
        <w:contextualSpacing/>
        <w:jc w:val="center"/>
        <w:outlineLvl w:val="0"/>
        <w:rPr>
          <w:rFonts w:eastAsia="Calibri"/>
          <w:b/>
          <w:color w:val="000000"/>
          <w:kern w:val="32"/>
          <w:sz w:val="24"/>
          <w:szCs w:val="24"/>
          <w:lang w:eastAsia="ru-RU"/>
        </w:rPr>
      </w:pP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1"/>
        <w:gridCol w:w="1699"/>
        <w:gridCol w:w="993"/>
        <w:gridCol w:w="1134"/>
        <w:gridCol w:w="980"/>
      </w:tblGrid>
      <w:tr w:rsidR="00323204" w:rsidRPr="00FA722E" w:rsidTr="0084692D">
        <w:trPr>
          <w:trHeight w:val="315"/>
          <w:jc w:val="center"/>
        </w:trPr>
        <w:tc>
          <w:tcPr>
            <w:tcW w:w="2410" w:type="pct"/>
            <w:shd w:val="clear" w:color="auto" w:fill="C6D9F1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916" w:type="pct"/>
            <w:shd w:val="clear" w:color="auto" w:fill="C6D9F1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5" w:type="pct"/>
            <w:shd w:val="clear" w:color="auto" w:fill="C6D9F1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611" w:type="pct"/>
            <w:shd w:val="clear" w:color="auto" w:fill="C6D9F1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528" w:type="pct"/>
            <w:shd w:val="clear" w:color="auto" w:fill="C6D9F1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2021г.</w:t>
            </w:r>
          </w:p>
        </w:tc>
      </w:tr>
      <w:tr w:rsidR="00323204" w:rsidRPr="00FA722E" w:rsidTr="0084692D">
        <w:trPr>
          <w:trHeight w:val="81"/>
          <w:jc w:val="center"/>
        </w:trPr>
        <w:tc>
          <w:tcPr>
            <w:tcW w:w="2410" w:type="pct"/>
            <w:shd w:val="clear" w:color="auto" w:fill="auto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 xml:space="preserve">ГЦБ, </w:t>
            </w:r>
            <w:proofErr w:type="gramStart"/>
            <w:r w:rsidRPr="00FA722E">
              <w:rPr>
                <w:rFonts w:eastAsia="Calibri"/>
                <w:sz w:val="24"/>
                <w:szCs w:val="24"/>
                <w:lang w:eastAsia="ru-RU"/>
              </w:rPr>
              <w:t>выпущенные</w:t>
            </w:r>
            <w:proofErr w:type="gramEnd"/>
            <w:r w:rsidRPr="00FA722E">
              <w:rPr>
                <w:rFonts w:eastAsia="Calibri"/>
                <w:sz w:val="24"/>
                <w:szCs w:val="24"/>
                <w:lang w:eastAsia="ru-RU"/>
              </w:rPr>
              <w:t xml:space="preserve"> посредством аукционов на первичном рынке, в том числе*: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% в ВВП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5,4%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6,2%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6,9%</w:t>
            </w:r>
          </w:p>
        </w:tc>
      </w:tr>
      <w:tr w:rsidR="00323204" w:rsidRPr="00FA722E" w:rsidTr="0084692D">
        <w:trPr>
          <w:trHeight w:val="110"/>
          <w:jc w:val="center"/>
        </w:trPr>
        <w:tc>
          <w:tcPr>
            <w:tcW w:w="2410" w:type="pct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 xml:space="preserve">          Казначейские обязательства</w:t>
            </w:r>
          </w:p>
        </w:tc>
        <w:tc>
          <w:tcPr>
            <w:tcW w:w="916" w:type="pct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% из всего</w:t>
            </w:r>
          </w:p>
        </w:tc>
        <w:tc>
          <w:tcPr>
            <w:tcW w:w="535" w:type="pct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80,0%</w:t>
            </w:r>
          </w:p>
        </w:tc>
        <w:tc>
          <w:tcPr>
            <w:tcW w:w="611" w:type="pct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75,5%</w:t>
            </w:r>
          </w:p>
        </w:tc>
        <w:tc>
          <w:tcPr>
            <w:tcW w:w="528" w:type="pct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71,0%</w:t>
            </w:r>
          </w:p>
        </w:tc>
      </w:tr>
      <w:tr w:rsidR="00323204" w:rsidRPr="00FA722E" w:rsidTr="0084692D">
        <w:trPr>
          <w:trHeight w:val="65"/>
          <w:jc w:val="center"/>
        </w:trPr>
        <w:tc>
          <w:tcPr>
            <w:tcW w:w="2410" w:type="pct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 xml:space="preserve">          Государственные облигации</w:t>
            </w:r>
          </w:p>
        </w:tc>
        <w:tc>
          <w:tcPr>
            <w:tcW w:w="916" w:type="pct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% из всего</w:t>
            </w:r>
          </w:p>
        </w:tc>
        <w:tc>
          <w:tcPr>
            <w:tcW w:w="535" w:type="pct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20,0%</w:t>
            </w:r>
          </w:p>
        </w:tc>
        <w:tc>
          <w:tcPr>
            <w:tcW w:w="611" w:type="pct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24,5%</w:t>
            </w:r>
          </w:p>
        </w:tc>
        <w:tc>
          <w:tcPr>
            <w:tcW w:w="528" w:type="pct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29,0%</w:t>
            </w:r>
          </w:p>
        </w:tc>
      </w:tr>
    </w:tbl>
    <w:p w:rsidR="00323204" w:rsidRPr="00FA722E" w:rsidRDefault="00323204" w:rsidP="00323204">
      <w:pPr>
        <w:keepNext/>
        <w:tabs>
          <w:tab w:val="left" w:pos="567"/>
        </w:tabs>
        <w:contextualSpacing/>
        <w:jc w:val="left"/>
        <w:outlineLvl w:val="0"/>
        <w:rPr>
          <w:rFonts w:eastAsia="Calibri"/>
          <w:i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color w:val="000000"/>
          <w:kern w:val="32"/>
          <w:sz w:val="24"/>
          <w:szCs w:val="24"/>
          <w:lang w:eastAsia="ru-RU"/>
        </w:rPr>
        <w:lastRenderedPageBreak/>
        <w:t>*</w:t>
      </w:r>
      <w:r w:rsidRPr="00FA722E">
        <w:rPr>
          <w:rFonts w:eastAsia="Calibri"/>
          <w:i/>
          <w:color w:val="000000"/>
          <w:kern w:val="32"/>
          <w:sz w:val="24"/>
          <w:szCs w:val="24"/>
          <w:lang w:eastAsia="ru-RU"/>
        </w:rPr>
        <w:t>За исключением ГЦБ, выпущенных в целях создания резервов ликвидности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4"/>
          <w:szCs w:val="24"/>
          <w:lang w:eastAsia="ru-RU"/>
        </w:rPr>
      </w:pP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Также Министерство финансов будет поддерживать в среднесрочной перспективе резерв ликвидности в национальной валюте (</w:t>
      </w:r>
      <w:proofErr w:type="spellStart"/>
      <w:r w:rsidRPr="00FA722E">
        <w:rPr>
          <w:rFonts w:eastAsia="Calibri"/>
          <w:i/>
          <w:color w:val="000000"/>
          <w:kern w:val="32"/>
          <w:sz w:val="27"/>
          <w:szCs w:val="27"/>
          <w:lang w:eastAsia="ru-RU"/>
        </w:rPr>
        <w:t>cash</w:t>
      </w:r>
      <w:proofErr w:type="spellEnd"/>
      <w:r w:rsidRPr="00FA722E">
        <w:rPr>
          <w:rFonts w:eastAsia="Calibri"/>
          <w:i/>
          <w:color w:val="000000"/>
          <w:kern w:val="32"/>
          <w:sz w:val="27"/>
          <w:szCs w:val="27"/>
          <w:lang w:eastAsia="ru-RU"/>
        </w:rPr>
        <w:t xml:space="preserve"> </w:t>
      </w:r>
      <w:proofErr w:type="spellStart"/>
      <w:r w:rsidRPr="00FA722E">
        <w:rPr>
          <w:rFonts w:eastAsia="Calibri"/>
          <w:i/>
          <w:color w:val="000000"/>
          <w:kern w:val="32"/>
          <w:sz w:val="27"/>
          <w:szCs w:val="27"/>
          <w:lang w:eastAsia="ru-RU"/>
        </w:rPr>
        <w:t>buffer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) и обеспечивать его пополнение до достижения предела  2 000,0 млн. леев. Таким образом, в 2018 году ожидается его пополнение на 291,1 млн. леев, а в течение 2019 года он будет пополнен еще на 1 200,0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млн</w:t>
      </w: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.л</w:t>
      </w:r>
      <w:proofErr w:type="gram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еев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. Соответствующий резерв также будет пополняться посредством ГЦБ, выпущенных на первичном рынке, государственных облигаций со сроком погашения 2-5 лет. Резерв не будет включать в себя дополнительные затраты по обслуживанию государственного долга и не сможет быть использован для финансирования дефицита бюджета, за исключением случаев, установленных Законом № 181/2014 о публичных финансах и бюджетно-налоговой ответственности.</w:t>
      </w:r>
    </w:p>
    <w:p w:rsidR="00323204" w:rsidRPr="00FA722E" w:rsidRDefault="00323204" w:rsidP="00323204">
      <w:pPr>
        <w:keepNext/>
        <w:tabs>
          <w:tab w:val="left" w:pos="567"/>
        </w:tabs>
        <w:ind w:firstLine="0"/>
        <w:outlineLvl w:val="0"/>
        <w:rPr>
          <w:rFonts w:eastAsia="Calibri"/>
          <w:color w:val="000000"/>
          <w:kern w:val="32"/>
          <w:sz w:val="24"/>
          <w:szCs w:val="24"/>
          <w:lang w:eastAsia="ru-RU"/>
        </w:rPr>
      </w:pPr>
    </w:p>
    <w:p w:rsidR="00323204" w:rsidRPr="00FA722E" w:rsidRDefault="00323204" w:rsidP="00323204">
      <w:pPr>
        <w:keepNext/>
        <w:tabs>
          <w:tab w:val="left" w:pos="567"/>
        </w:tabs>
        <w:spacing w:after="160" w:line="259" w:lineRule="auto"/>
        <w:ind w:firstLine="0"/>
        <w:contextualSpacing/>
        <w:jc w:val="center"/>
        <w:outlineLvl w:val="0"/>
        <w:rPr>
          <w:rFonts w:eastAsia="Calibri"/>
          <w:b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b/>
          <w:color w:val="000000"/>
          <w:kern w:val="32"/>
          <w:sz w:val="24"/>
          <w:szCs w:val="24"/>
          <w:lang w:eastAsia="ru-RU"/>
        </w:rPr>
        <w:t>IV. АНАЛИЗ АЛЬТЕРНАТИВНЫХ СТРАТЕГИЙ ФИНАНСИРОВАНИЯ ОСТАТКА (ДЕФИЦИТА) ГОСУДАРСТВЕННОГО БЮДЖЕТА</w:t>
      </w:r>
    </w:p>
    <w:p w:rsidR="00323204" w:rsidRPr="00FA722E" w:rsidRDefault="00323204" w:rsidP="00323204">
      <w:pPr>
        <w:keepNext/>
        <w:tabs>
          <w:tab w:val="left" w:pos="567"/>
        </w:tabs>
        <w:spacing w:after="160" w:line="259" w:lineRule="auto"/>
        <w:ind w:firstLine="0"/>
        <w:contextualSpacing/>
        <w:jc w:val="center"/>
        <w:outlineLvl w:val="0"/>
        <w:rPr>
          <w:rFonts w:eastAsia="Calibri"/>
          <w:b/>
          <w:color w:val="000000"/>
          <w:kern w:val="32"/>
          <w:sz w:val="24"/>
          <w:szCs w:val="24"/>
          <w:lang w:eastAsia="ru-RU"/>
        </w:rPr>
      </w:pP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В аналитических целях Министерство финансов рассмотрело две альтернативные опции финансирования (</w:t>
      </w:r>
      <w:r w:rsidRPr="00FA722E">
        <w:rPr>
          <w:rFonts w:eastAsia="Calibri"/>
          <w:b/>
          <w:color w:val="000000"/>
          <w:kern w:val="32"/>
          <w:sz w:val="27"/>
          <w:szCs w:val="27"/>
          <w:lang w:eastAsia="ru-RU"/>
        </w:rPr>
        <w:t xml:space="preserve">S2 </w:t>
      </w: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и </w:t>
      </w:r>
      <w:r w:rsidRPr="00FA722E">
        <w:rPr>
          <w:rFonts w:eastAsia="Calibri"/>
          <w:b/>
          <w:color w:val="000000"/>
          <w:kern w:val="32"/>
          <w:sz w:val="27"/>
          <w:szCs w:val="27"/>
          <w:lang w:eastAsia="ru-RU"/>
        </w:rPr>
        <w:t>S3</w:t>
      </w: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) остатка (дефицита) государственного бюджета из внутренних и внешних источников: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b/>
          <w:color w:val="000000"/>
          <w:kern w:val="32"/>
          <w:sz w:val="27"/>
          <w:szCs w:val="27"/>
          <w:lang w:eastAsia="ru-RU"/>
        </w:rPr>
        <w:t xml:space="preserve">S2 – </w:t>
      </w: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анализирует возможность финансирования инвестиционных проектов по восстановлению национальных дорог другими кредиторами, а именно: Азиатский банк инфраструктурных инвестиции (АБИИ) или Международный банк реконструкции и развития (МБРР). Если финансирование двух данных проектов будет осуществлено указанными кредиторами, ATM государственного долга увеличится в среднем на 0,5 лет, а государственный долг, подлежащий оплате в течение года, будет уменьшен на 0,1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п.п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., по сравнению с S1, к концу 2021 года;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b/>
          <w:color w:val="000000"/>
          <w:kern w:val="32"/>
          <w:sz w:val="27"/>
          <w:szCs w:val="27"/>
          <w:lang w:eastAsia="ru-RU"/>
        </w:rPr>
        <w:t xml:space="preserve">S3 – </w:t>
      </w: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анализирует умеренное увеличение чистого внутреннего финансирования и постепенной диверсификации инструментов посредством расширения срока их погашения. S3 фокусируется на развитии новых инструментов для выпуска на внутреннем рынке, начиная с 2019 года, которые предоставляли бы инвестиционные </w:t>
      </w: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альтернативы</w:t>
      </w:r>
      <w:proofErr w:type="gram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как инвесторам-резидентам, так и инвесторам-нерезидентам. </w:t>
      </w: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Сценарий предполагает уменьшение на 20,0% выпуска казначейских обязательств, прогнозируемых на промежуток времени 2019-2021 годов, параллельно с увеличением выпуска облигаций со сроком погашения  2, 3 и 5 лет, с фиксированной процентной ставкой, а также вводом новых инструментов – облигаций со сроком погашения  7 лет, с фиксированной процентной ставкой (увеличение выпуска на 5% для каждого срока погашения в сравнении с </w:t>
      </w:r>
      <w:r w:rsidRPr="00FA722E">
        <w:rPr>
          <w:rFonts w:eastAsia="Calibri"/>
          <w:b/>
          <w:color w:val="000000"/>
          <w:kern w:val="32"/>
          <w:sz w:val="27"/>
          <w:szCs w:val="27"/>
          <w:lang w:eastAsia="ru-RU"/>
        </w:rPr>
        <w:t>S1</w:t>
      </w: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)</w:t>
      </w:r>
      <w:proofErr w:type="gramEnd"/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Согласно S3, вследствие результатов осуществленных симуляций к концу 2021 года государственный долг, подлежащий к оплате в течение года, уменьшится на 4,3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п.п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., средний период погашения государственного дола увеличится на 0,1 года, долг, подлежащий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рефиксации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по новой процентной ставке, уменьшится на 4,9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п.п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., а доля казначейских обязательств в общей сумме государственного долга уменьшится на 5,4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п.п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.</w:t>
      </w:r>
      <w:proofErr w:type="gramEnd"/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Вместе с тем, финансирование согласно этим трем стратегиям включает в среднесрочной перспективе то же развитие показателя государственного </w:t>
      </w: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lastRenderedPageBreak/>
        <w:t xml:space="preserve">долга в ВВП, хотя согласно S3 доля внутреннего государственного долга увеличится примерно на 1,0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п.п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. в общей сумме государственного долга, что предполагает уменьшение степени подверженности валютному риску.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Следует отметить и то, что все стратегии финансирования сохраняют в среднесрочной перспективе расходы, связанные с оплатой процентов, примерно на том же уровне, намного ниже порога в10% по отношению к доходам государственного бюджета.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Исходя из изложенного, Министерство финансов будет учитывать в процессе финансирования гибкую структуру срока погашения, но которая позволит в дальнейшем расширить длительность портфеля государственного долга и уменьшить риск рефинансирования. </w:t>
      </w: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Учитывая ограничения, установленные местным и международным финансовыми рынками, в среднесрочной перспективе Министерство финансов будет ориентироваться на диверсификацию источников внешнего кредитования для финансирования приоритетных проектов национальной экономики, а на внутреннем плане, с целью уменьшения влияния сокращения внешнего финансирования на концессионных и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полуконцессионных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условиях, будут развиваться новые инструменты для выпуска на рынке, уделяя особое внимание сроку их погашения, а также повышению привлекательности</w:t>
      </w:r>
      <w:proofErr w:type="gram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инструмента ГЦБ в национальной валюте для инвесторов-нерезидентов, повышая тем самым привлекательность местного рынка ГЦБ. 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Министерство финансов продолжит поддерживать гибкий подход к реализации процесса финансирования остатка (дефицита) государственного бюджета на местном рынке, преследуя цель обеспечения прогнозируемости и прозрачности предложения государственных ценных бумаг, чтобы иметь возможность быстро реагировать на возможные изменения в тенденциях рынка и в поведении инвесторов.</w:t>
      </w:r>
    </w:p>
    <w:p w:rsidR="00323204" w:rsidRDefault="00323204" w:rsidP="00323204">
      <w:pPr>
        <w:keepNext/>
        <w:tabs>
          <w:tab w:val="left" w:pos="567"/>
        </w:tabs>
        <w:ind w:firstLine="0"/>
        <w:outlineLvl w:val="0"/>
        <w:rPr>
          <w:rFonts w:eastAsia="Calibri"/>
          <w:color w:val="000000"/>
          <w:kern w:val="32"/>
          <w:sz w:val="24"/>
          <w:szCs w:val="24"/>
          <w:lang w:eastAsia="ru-RU"/>
        </w:rPr>
      </w:pPr>
    </w:p>
    <w:p w:rsidR="00323204" w:rsidRDefault="00323204" w:rsidP="00323204">
      <w:pPr>
        <w:keepNext/>
        <w:tabs>
          <w:tab w:val="left" w:pos="567"/>
        </w:tabs>
        <w:ind w:firstLine="0"/>
        <w:outlineLvl w:val="0"/>
        <w:rPr>
          <w:rFonts w:eastAsia="Calibri"/>
          <w:color w:val="000000"/>
          <w:kern w:val="32"/>
          <w:sz w:val="24"/>
          <w:szCs w:val="24"/>
          <w:lang w:eastAsia="ru-RU"/>
        </w:rPr>
      </w:pPr>
    </w:p>
    <w:p w:rsidR="00323204" w:rsidRDefault="00323204" w:rsidP="00323204">
      <w:pPr>
        <w:keepNext/>
        <w:tabs>
          <w:tab w:val="left" w:pos="567"/>
        </w:tabs>
        <w:ind w:firstLine="0"/>
        <w:outlineLvl w:val="0"/>
        <w:rPr>
          <w:rFonts w:eastAsia="Calibri"/>
          <w:color w:val="000000"/>
          <w:kern w:val="32"/>
          <w:sz w:val="24"/>
          <w:szCs w:val="24"/>
          <w:lang w:eastAsia="ru-RU"/>
        </w:rPr>
      </w:pPr>
    </w:p>
    <w:p w:rsidR="00323204" w:rsidRDefault="00323204" w:rsidP="00323204">
      <w:pPr>
        <w:keepNext/>
        <w:tabs>
          <w:tab w:val="left" w:pos="567"/>
        </w:tabs>
        <w:ind w:firstLine="0"/>
        <w:outlineLvl w:val="0"/>
        <w:rPr>
          <w:rFonts w:eastAsia="Calibri"/>
          <w:color w:val="000000"/>
          <w:kern w:val="32"/>
          <w:sz w:val="24"/>
          <w:szCs w:val="24"/>
          <w:lang w:eastAsia="ru-RU"/>
        </w:rPr>
      </w:pPr>
    </w:p>
    <w:p w:rsidR="00323204" w:rsidRDefault="00323204" w:rsidP="00323204">
      <w:pPr>
        <w:keepNext/>
        <w:tabs>
          <w:tab w:val="left" w:pos="567"/>
        </w:tabs>
        <w:ind w:firstLine="0"/>
        <w:outlineLvl w:val="0"/>
        <w:rPr>
          <w:rFonts w:eastAsia="Calibri"/>
          <w:color w:val="000000"/>
          <w:kern w:val="32"/>
          <w:sz w:val="24"/>
          <w:szCs w:val="24"/>
          <w:lang w:eastAsia="ru-RU"/>
        </w:rPr>
      </w:pPr>
    </w:p>
    <w:p w:rsidR="00323204" w:rsidRPr="00FA722E" w:rsidRDefault="00323204" w:rsidP="00323204">
      <w:pPr>
        <w:keepNext/>
        <w:tabs>
          <w:tab w:val="left" w:pos="567"/>
        </w:tabs>
        <w:ind w:firstLine="0"/>
        <w:outlineLvl w:val="0"/>
        <w:rPr>
          <w:rFonts w:eastAsia="Calibri"/>
          <w:color w:val="000000"/>
          <w:kern w:val="32"/>
          <w:sz w:val="24"/>
          <w:szCs w:val="24"/>
          <w:lang w:eastAsia="ru-RU"/>
        </w:rPr>
      </w:pPr>
    </w:p>
    <w:p w:rsidR="00323204" w:rsidRPr="00FA722E" w:rsidRDefault="00323204" w:rsidP="00323204">
      <w:pPr>
        <w:keepNext/>
        <w:tabs>
          <w:tab w:val="left" w:pos="567"/>
        </w:tabs>
        <w:spacing w:after="160" w:line="259" w:lineRule="auto"/>
        <w:ind w:firstLine="0"/>
        <w:contextualSpacing/>
        <w:jc w:val="center"/>
        <w:outlineLvl w:val="0"/>
        <w:rPr>
          <w:rFonts w:eastAsia="Calibri"/>
          <w:b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b/>
          <w:color w:val="000000"/>
          <w:kern w:val="32"/>
          <w:sz w:val="24"/>
          <w:szCs w:val="24"/>
          <w:lang w:eastAsia="ru-RU"/>
        </w:rPr>
        <w:t xml:space="preserve">V. РИСКИ, СВЯЗАННЫЕ С ПОРТФЕЛЕМ ГОСУДАРСТВЕННОГО ДОЛГА ПО СОСТОЯНИЮ </w:t>
      </w:r>
      <w:proofErr w:type="gramStart"/>
      <w:r w:rsidRPr="00FA722E">
        <w:rPr>
          <w:rFonts w:eastAsia="Calibri"/>
          <w:b/>
          <w:color w:val="000000"/>
          <w:kern w:val="32"/>
          <w:sz w:val="24"/>
          <w:szCs w:val="24"/>
          <w:lang w:eastAsia="ru-RU"/>
        </w:rPr>
        <w:t>НА КОНЕЦ</w:t>
      </w:r>
      <w:proofErr w:type="gramEnd"/>
      <w:r w:rsidRPr="00FA722E">
        <w:rPr>
          <w:rFonts w:eastAsia="Calibri"/>
          <w:b/>
          <w:color w:val="000000"/>
          <w:kern w:val="32"/>
          <w:sz w:val="24"/>
          <w:szCs w:val="24"/>
          <w:lang w:eastAsia="ru-RU"/>
        </w:rPr>
        <w:t xml:space="preserve"> 2021 ГОДА</w:t>
      </w:r>
    </w:p>
    <w:p w:rsidR="00323204" w:rsidRPr="00FA722E" w:rsidRDefault="00323204" w:rsidP="00323204">
      <w:pPr>
        <w:keepNext/>
        <w:tabs>
          <w:tab w:val="left" w:pos="567"/>
        </w:tabs>
        <w:ind w:firstLine="0"/>
        <w:contextualSpacing/>
        <w:jc w:val="center"/>
        <w:outlineLvl w:val="0"/>
        <w:rPr>
          <w:rFonts w:eastAsia="Calibri"/>
          <w:b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b/>
          <w:color w:val="000000"/>
          <w:kern w:val="32"/>
          <w:sz w:val="24"/>
          <w:szCs w:val="24"/>
          <w:lang w:eastAsia="ru-RU"/>
        </w:rPr>
        <w:t>Раздел 1</w:t>
      </w:r>
    </w:p>
    <w:p w:rsidR="00323204" w:rsidRPr="00FA722E" w:rsidRDefault="00323204" w:rsidP="00323204">
      <w:pPr>
        <w:keepNext/>
        <w:tabs>
          <w:tab w:val="left" w:pos="567"/>
        </w:tabs>
        <w:ind w:firstLine="0"/>
        <w:contextualSpacing/>
        <w:jc w:val="center"/>
        <w:outlineLvl w:val="0"/>
        <w:rPr>
          <w:rFonts w:eastAsia="Calibri"/>
          <w:b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b/>
          <w:color w:val="000000"/>
          <w:kern w:val="32"/>
          <w:sz w:val="24"/>
          <w:szCs w:val="24"/>
          <w:lang w:eastAsia="ru-RU"/>
        </w:rPr>
        <w:t xml:space="preserve"> Концептуализация рисков, связанных с портфелем государственного долга и их анализ</w:t>
      </w:r>
    </w:p>
    <w:p w:rsidR="00323204" w:rsidRDefault="00323204" w:rsidP="00323204">
      <w:pPr>
        <w:keepNext/>
        <w:tabs>
          <w:tab w:val="left" w:pos="567"/>
          <w:tab w:val="left" w:pos="993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</w:p>
    <w:p w:rsidR="00323204" w:rsidRPr="00FA722E" w:rsidRDefault="00323204" w:rsidP="00323204">
      <w:pPr>
        <w:keepNext/>
        <w:tabs>
          <w:tab w:val="left" w:pos="567"/>
          <w:tab w:val="left" w:pos="993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Переменчивость финансовых рынков – в результате колебания процентных ставок, обменных курсов или изменений инфляции – определяет повышающуюся волатильность портфеля государственного долга. Данное явление можно идентифицировать как рыночный риск. Это главный вид риска, связанный с остатком и стоимостью государственного долга Республики Молдова, который  включает:</w:t>
      </w:r>
    </w:p>
    <w:p w:rsidR="00323204" w:rsidRPr="00FA722E" w:rsidRDefault="00323204" w:rsidP="00323204">
      <w:pPr>
        <w:keepNext/>
        <w:numPr>
          <w:ilvl w:val="0"/>
          <w:numId w:val="8"/>
        </w:numPr>
        <w:tabs>
          <w:tab w:val="left" w:pos="567"/>
          <w:tab w:val="left" w:pos="993"/>
        </w:tabs>
        <w:spacing w:after="160" w:line="259" w:lineRule="auto"/>
        <w:ind w:left="0" w:firstLine="709"/>
        <w:contextualSpacing/>
        <w:jc w:val="left"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риск рефинансирования;</w:t>
      </w:r>
    </w:p>
    <w:p w:rsidR="00323204" w:rsidRPr="00FA722E" w:rsidRDefault="00323204" w:rsidP="00323204">
      <w:pPr>
        <w:keepNext/>
        <w:numPr>
          <w:ilvl w:val="0"/>
          <w:numId w:val="8"/>
        </w:numPr>
        <w:tabs>
          <w:tab w:val="left" w:pos="567"/>
          <w:tab w:val="left" w:pos="993"/>
        </w:tabs>
        <w:spacing w:after="160" w:line="259" w:lineRule="auto"/>
        <w:ind w:left="0" w:firstLine="709"/>
        <w:contextualSpacing/>
        <w:jc w:val="left"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валютный риск;</w:t>
      </w:r>
    </w:p>
    <w:p w:rsidR="00323204" w:rsidRPr="00FA722E" w:rsidRDefault="00323204" w:rsidP="00323204">
      <w:pPr>
        <w:keepNext/>
        <w:numPr>
          <w:ilvl w:val="0"/>
          <w:numId w:val="8"/>
        </w:numPr>
        <w:tabs>
          <w:tab w:val="left" w:pos="567"/>
          <w:tab w:val="left" w:pos="993"/>
        </w:tabs>
        <w:spacing w:after="160" w:line="259" w:lineRule="auto"/>
        <w:ind w:left="0" w:firstLine="709"/>
        <w:contextualSpacing/>
        <w:jc w:val="left"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риск процентной ставки.</w:t>
      </w:r>
    </w:p>
    <w:p w:rsidR="00323204" w:rsidRPr="00FA722E" w:rsidRDefault="00323204" w:rsidP="00323204">
      <w:pPr>
        <w:keepNext/>
        <w:tabs>
          <w:tab w:val="left" w:pos="567"/>
          <w:tab w:val="left" w:pos="993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lastRenderedPageBreak/>
        <w:t xml:space="preserve">Кроме </w:t>
      </w: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вышеуказанного</w:t>
      </w:r>
      <w:proofErr w:type="gram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, отмечается и операционный риск, который косвенно влияет на государственный долг, а также риск материализации условных обязательств.</w:t>
      </w:r>
    </w:p>
    <w:p w:rsidR="00323204" w:rsidRPr="00FA722E" w:rsidRDefault="00323204" w:rsidP="00323204">
      <w:pPr>
        <w:keepNext/>
        <w:tabs>
          <w:tab w:val="left" w:pos="567"/>
          <w:tab w:val="left" w:pos="993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В таблице 6 представлено развитие показателей риска, связанных с государственным долгом, </w:t>
      </w: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на конец</w:t>
      </w:r>
      <w:proofErr w:type="gram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2021 года, в результате внедрения стратегии финансирования – основного сценария, по сравнению с ситуацией, зарегистрированной на 30 сентября 2018 г.</w:t>
      </w:r>
    </w:p>
    <w:p w:rsidR="00323204" w:rsidRPr="00FA722E" w:rsidRDefault="00323204" w:rsidP="00323204">
      <w:pPr>
        <w:keepNext/>
        <w:tabs>
          <w:tab w:val="left" w:pos="567"/>
        </w:tabs>
        <w:ind w:firstLine="567"/>
        <w:jc w:val="right"/>
        <w:outlineLvl w:val="0"/>
        <w:rPr>
          <w:rFonts w:eastAsia="Calibri"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color w:val="000000"/>
          <w:kern w:val="32"/>
          <w:sz w:val="24"/>
          <w:szCs w:val="24"/>
          <w:lang w:eastAsia="ru-RU"/>
        </w:rPr>
        <w:t>Таблица 6</w:t>
      </w:r>
    </w:p>
    <w:p w:rsidR="00323204" w:rsidRPr="00FA722E" w:rsidRDefault="00323204" w:rsidP="00323204">
      <w:pPr>
        <w:keepNext/>
        <w:tabs>
          <w:tab w:val="left" w:pos="567"/>
        </w:tabs>
        <w:ind w:firstLine="567"/>
        <w:jc w:val="center"/>
        <w:outlineLvl w:val="0"/>
        <w:rPr>
          <w:rFonts w:eastAsia="Calibri"/>
          <w:b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b/>
          <w:color w:val="000000"/>
          <w:kern w:val="32"/>
          <w:sz w:val="24"/>
          <w:szCs w:val="24"/>
          <w:lang w:eastAsia="ru-RU"/>
        </w:rPr>
        <w:t xml:space="preserve">Показатели рыночных рисков, связанных с государственным долгом, </w:t>
      </w:r>
      <w:proofErr w:type="gramStart"/>
      <w:r w:rsidRPr="00FA722E">
        <w:rPr>
          <w:rFonts w:eastAsia="Calibri"/>
          <w:b/>
          <w:color w:val="000000"/>
          <w:kern w:val="32"/>
          <w:sz w:val="24"/>
          <w:szCs w:val="24"/>
          <w:lang w:eastAsia="ru-RU"/>
        </w:rPr>
        <w:t>на конец</w:t>
      </w:r>
      <w:proofErr w:type="gramEnd"/>
      <w:r w:rsidRPr="00FA722E">
        <w:rPr>
          <w:rFonts w:eastAsia="Calibri"/>
          <w:b/>
          <w:color w:val="000000"/>
          <w:kern w:val="32"/>
          <w:sz w:val="24"/>
          <w:szCs w:val="24"/>
          <w:lang w:eastAsia="ru-RU"/>
        </w:rPr>
        <w:t xml:space="preserve"> 2021 года</w:t>
      </w:r>
    </w:p>
    <w:p w:rsidR="00323204" w:rsidRPr="00FA722E" w:rsidRDefault="00323204" w:rsidP="00323204">
      <w:pPr>
        <w:keepNext/>
        <w:tabs>
          <w:tab w:val="left" w:pos="567"/>
        </w:tabs>
        <w:ind w:firstLine="567"/>
        <w:jc w:val="center"/>
        <w:outlineLvl w:val="0"/>
        <w:rPr>
          <w:rFonts w:eastAsia="Calibri"/>
          <w:b/>
          <w:color w:val="000000"/>
          <w:kern w:val="32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1243"/>
        <w:gridCol w:w="871"/>
      </w:tblGrid>
      <w:tr w:rsidR="00323204" w:rsidRPr="00FA722E" w:rsidTr="0084692D">
        <w:trPr>
          <w:trHeight w:val="315"/>
          <w:jc w:val="center"/>
        </w:trPr>
        <w:tc>
          <w:tcPr>
            <w:tcW w:w="3869" w:type="pct"/>
            <w:shd w:val="clear" w:color="auto" w:fill="C6D9F1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65" w:type="pct"/>
            <w:shd w:val="clear" w:color="auto" w:fill="C6D9F1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30 октября 2018</w:t>
            </w:r>
          </w:p>
        </w:tc>
        <w:tc>
          <w:tcPr>
            <w:tcW w:w="466" w:type="pct"/>
            <w:shd w:val="clear" w:color="auto" w:fill="C6D9F1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left="-34" w:right="-78" w:firstLine="34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31 декабря 2021</w:t>
            </w:r>
          </w:p>
        </w:tc>
      </w:tr>
      <w:tr w:rsidR="00323204" w:rsidRPr="00FA722E" w:rsidTr="0084692D">
        <w:trPr>
          <w:trHeight w:val="81"/>
          <w:jc w:val="center"/>
        </w:trPr>
        <w:tc>
          <w:tcPr>
            <w:tcW w:w="3869" w:type="pct"/>
            <w:shd w:val="clear" w:color="auto" w:fill="auto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sz w:val="24"/>
                <w:szCs w:val="24"/>
                <w:lang w:eastAsia="ru-RU"/>
              </w:rPr>
              <w:t>Доля государственного долга в ВВП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26,9%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23204" w:rsidRPr="00FA722E" w:rsidRDefault="00323204" w:rsidP="0084692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sz w:val="24"/>
                <w:szCs w:val="24"/>
                <w:lang w:eastAsia="ru-RU"/>
              </w:rPr>
              <w:t>31,0%</w:t>
            </w:r>
          </w:p>
        </w:tc>
      </w:tr>
      <w:tr w:rsidR="00323204" w:rsidRPr="00FA722E" w:rsidTr="0084692D">
        <w:trPr>
          <w:trHeight w:val="110"/>
          <w:jc w:val="center"/>
        </w:trPr>
        <w:tc>
          <w:tcPr>
            <w:tcW w:w="3869" w:type="pct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sz w:val="24"/>
                <w:szCs w:val="24"/>
                <w:lang w:eastAsia="ru-RU"/>
              </w:rPr>
              <w:t>Доля обслуживания (выплата процентов)  государственного долга в ВВП</w:t>
            </w:r>
          </w:p>
        </w:tc>
        <w:tc>
          <w:tcPr>
            <w:tcW w:w="665" w:type="pct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0,9%*</w:t>
            </w:r>
          </w:p>
        </w:tc>
        <w:tc>
          <w:tcPr>
            <w:tcW w:w="466" w:type="pct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1,0%</w:t>
            </w:r>
          </w:p>
        </w:tc>
      </w:tr>
      <w:tr w:rsidR="00323204" w:rsidRPr="00FA722E" w:rsidTr="0084692D">
        <w:trPr>
          <w:trHeight w:val="110"/>
          <w:jc w:val="center"/>
        </w:trPr>
        <w:tc>
          <w:tcPr>
            <w:tcW w:w="5000" w:type="pct"/>
            <w:gridSpan w:val="3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sz w:val="24"/>
                <w:szCs w:val="24"/>
                <w:lang w:eastAsia="ru-RU"/>
              </w:rPr>
              <w:t>Риск рефинансирования</w:t>
            </w:r>
          </w:p>
        </w:tc>
      </w:tr>
      <w:tr w:rsidR="00323204" w:rsidRPr="00FA722E" w:rsidTr="0084692D">
        <w:trPr>
          <w:trHeight w:val="110"/>
          <w:jc w:val="center"/>
        </w:trPr>
        <w:tc>
          <w:tcPr>
            <w:tcW w:w="3869" w:type="pct"/>
            <w:noWrap/>
          </w:tcPr>
          <w:p w:rsidR="00323204" w:rsidRPr="00FA722E" w:rsidRDefault="00323204" w:rsidP="0084692D">
            <w:pPr>
              <w:numPr>
                <w:ilvl w:val="0"/>
                <w:numId w:val="18"/>
              </w:numPr>
              <w:ind w:left="142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sz w:val="24"/>
                <w:szCs w:val="24"/>
                <w:lang w:eastAsia="ru-RU"/>
              </w:rPr>
              <w:t>Долг, подлежащий оплате в течение одного года (% из всего)</w:t>
            </w:r>
          </w:p>
        </w:tc>
        <w:tc>
          <w:tcPr>
            <w:tcW w:w="665" w:type="pct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21,0%</w:t>
            </w:r>
          </w:p>
        </w:tc>
        <w:tc>
          <w:tcPr>
            <w:tcW w:w="466" w:type="pct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18,7%</w:t>
            </w:r>
          </w:p>
        </w:tc>
      </w:tr>
      <w:tr w:rsidR="00323204" w:rsidRPr="00FA722E" w:rsidTr="0084692D">
        <w:trPr>
          <w:trHeight w:val="110"/>
          <w:jc w:val="center"/>
        </w:trPr>
        <w:tc>
          <w:tcPr>
            <w:tcW w:w="3869" w:type="pct"/>
            <w:noWrap/>
          </w:tcPr>
          <w:p w:rsidR="00323204" w:rsidRPr="00FA722E" w:rsidRDefault="00323204" w:rsidP="0084692D">
            <w:pPr>
              <w:numPr>
                <w:ilvl w:val="0"/>
                <w:numId w:val="18"/>
              </w:numPr>
              <w:tabs>
                <w:tab w:val="left" w:pos="567"/>
              </w:tabs>
              <w:ind w:left="142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sz w:val="24"/>
                <w:szCs w:val="24"/>
                <w:lang w:eastAsia="ru-RU"/>
              </w:rPr>
              <w:t>Долг, подлежащий оплате в течение одного года (% от ВВП)</w:t>
            </w:r>
          </w:p>
        </w:tc>
        <w:tc>
          <w:tcPr>
            <w:tcW w:w="665" w:type="pct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5,7%</w:t>
            </w:r>
          </w:p>
        </w:tc>
        <w:tc>
          <w:tcPr>
            <w:tcW w:w="466" w:type="pct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5,8%</w:t>
            </w:r>
          </w:p>
        </w:tc>
      </w:tr>
      <w:tr w:rsidR="00323204" w:rsidRPr="00FA722E" w:rsidTr="0084692D">
        <w:trPr>
          <w:trHeight w:val="110"/>
          <w:jc w:val="center"/>
        </w:trPr>
        <w:tc>
          <w:tcPr>
            <w:tcW w:w="3869" w:type="pct"/>
            <w:noWrap/>
          </w:tcPr>
          <w:p w:rsidR="00323204" w:rsidRPr="00FA722E" w:rsidRDefault="00323204" w:rsidP="0084692D">
            <w:pPr>
              <w:numPr>
                <w:ilvl w:val="0"/>
                <w:numId w:val="18"/>
              </w:numPr>
              <w:tabs>
                <w:tab w:val="left" w:pos="567"/>
              </w:tabs>
              <w:ind w:left="142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sz w:val="24"/>
                <w:szCs w:val="24"/>
                <w:lang w:eastAsia="ru-RU"/>
              </w:rPr>
              <w:t>ATM** для внешнего государственного долга (лет)</w:t>
            </w:r>
          </w:p>
        </w:tc>
        <w:tc>
          <w:tcPr>
            <w:tcW w:w="665" w:type="pct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466" w:type="pct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10,0</w:t>
            </w:r>
          </w:p>
        </w:tc>
      </w:tr>
      <w:tr w:rsidR="00323204" w:rsidRPr="00FA722E" w:rsidTr="0084692D">
        <w:trPr>
          <w:trHeight w:val="110"/>
          <w:jc w:val="center"/>
        </w:trPr>
        <w:tc>
          <w:tcPr>
            <w:tcW w:w="3869" w:type="pct"/>
            <w:noWrap/>
          </w:tcPr>
          <w:p w:rsidR="00323204" w:rsidRPr="00FA722E" w:rsidRDefault="00323204" w:rsidP="0084692D">
            <w:pPr>
              <w:numPr>
                <w:ilvl w:val="0"/>
                <w:numId w:val="18"/>
              </w:numPr>
              <w:tabs>
                <w:tab w:val="left" w:pos="567"/>
              </w:tabs>
              <w:ind w:left="142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sz w:val="24"/>
                <w:szCs w:val="24"/>
                <w:lang w:eastAsia="ru-RU"/>
              </w:rPr>
              <w:t>ATM** для внутреннего государственного долга (лет)</w:t>
            </w:r>
          </w:p>
        </w:tc>
        <w:tc>
          <w:tcPr>
            <w:tcW w:w="665" w:type="pct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466" w:type="pct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5,6</w:t>
            </w:r>
          </w:p>
        </w:tc>
      </w:tr>
      <w:tr w:rsidR="00323204" w:rsidRPr="00FA722E" w:rsidTr="0084692D">
        <w:trPr>
          <w:trHeight w:val="110"/>
          <w:jc w:val="center"/>
        </w:trPr>
        <w:tc>
          <w:tcPr>
            <w:tcW w:w="3869" w:type="pct"/>
            <w:noWrap/>
          </w:tcPr>
          <w:p w:rsidR="00323204" w:rsidRPr="00FA722E" w:rsidRDefault="00323204" w:rsidP="0084692D">
            <w:pPr>
              <w:numPr>
                <w:ilvl w:val="0"/>
                <w:numId w:val="18"/>
              </w:numPr>
              <w:tabs>
                <w:tab w:val="left" w:pos="567"/>
              </w:tabs>
              <w:ind w:left="142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sz w:val="24"/>
                <w:szCs w:val="24"/>
                <w:lang w:eastAsia="ru-RU"/>
              </w:rPr>
              <w:t>ATM** общего государственного долга (лет)</w:t>
            </w:r>
          </w:p>
        </w:tc>
        <w:tc>
          <w:tcPr>
            <w:tcW w:w="665" w:type="pct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466" w:type="pct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8,1</w:t>
            </w:r>
          </w:p>
        </w:tc>
      </w:tr>
      <w:tr w:rsidR="00323204" w:rsidRPr="00FA722E" w:rsidTr="0084692D">
        <w:trPr>
          <w:trHeight w:val="110"/>
          <w:jc w:val="center"/>
        </w:trPr>
        <w:tc>
          <w:tcPr>
            <w:tcW w:w="5000" w:type="pct"/>
            <w:gridSpan w:val="3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Валютный риск</w:t>
            </w:r>
          </w:p>
        </w:tc>
      </w:tr>
      <w:tr w:rsidR="00323204" w:rsidRPr="00FA722E" w:rsidTr="0084692D">
        <w:trPr>
          <w:trHeight w:val="110"/>
          <w:jc w:val="center"/>
        </w:trPr>
        <w:tc>
          <w:tcPr>
            <w:tcW w:w="3869" w:type="pct"/>
            <w:noWrap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lef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Внешний государственный долг (% из всего)</w:t>
            </w:r>
          </w:p>
        </w:tc>
        <w:tc>
          <w:tcPr>
            <w:tcW w:w="665" w:type="pct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55,1%</w:t>
            </w:r>
          </w:p>
        </w:tc>
        <w:tc>
          <w:tcPr>
            <w:tcW w:w="466" w:type="pct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59,6%</w:t>
            </w:r>
          </w:p>
        </w:tc>
      </w:tr>
      <w:tr w:rsidR="00323204" w:rsidRPr="00FA722E" w:rsidTr="0084692D">
        <w:trPr>
          <w:trHeight w:val="110"/>
          <w:jc w:val="center"/>
        </w:trPr>
        <w:tc>
          <w:tcPr>
            <w:tcW w:w="5000" w:type="pct"/>
            <w:gridSpan w:val="3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Риск процентной ставки</w:t>
            </w:r>
          </w:p>
        </w:tc>
      </w:tr>
      <w:tr w:rsidR="00323204" w:rsidRPr="00FA722E" w:rsidTr="0084692D">
        <w:trPr>
          <w:trHeight w:val="110"/>
          <w:jc w:val="center"/>
        </w:trPr>
        <w:tc>
          <w:tcPr>
            <w:tcW w:w="3869" w:type="pct"/>
            <w:noWrap/>
          </w:tcPr>
          <w:p w:rsidR="00323204" w:rsidRPr="00FA722E" w:rsidRDefault="00323204" w:rsidP="0084692D">
            <w:pPr>
              <w:numPr>
                <w:ilvl w:val="0"/>
                <w:numId w:val="19"/>
              </w:numPr>
              <w:tabs>
                <w:tab w:val="left" w:pos="567"/>
              </w:tabs>
              <w:ind w:left="142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ATR** общего государственного долга (лет)</w:t>
            </w:r>
          </w:p>
        </w:tc>
        <w:tc>
          <w:tcPr>
            <w:tcW w:w="665" w:type="pct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467" w:type="pct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5,7</w:t>
            </w:r>
          </w:p>
        </w:tc>
      </w:tr>
      <w:tr w:rsidR="00323204" w:rsidRPr="00FA722E" w:rsidTr="0084692D">
        <w:trPr>
          <w:trHeight w:val="110"/>
          <w:jc w:val="center"/>
        </w:trPr>
        <w:tc>
          <w:tcPr>
            <w:tcW w:w="3869" w:type="pct"/>
            <w:noWrap/>
          </w:tcPr>
          <w:p w:rsidR="00323204" w:rsidRPr="00FA722E" w:rsidRDefault="00323204" w:rsidP="0084692D">
            <w:pPr>
              <w:numPr>
                <w:ilvl w:val="0"/>
                <w:numId w:val="19"/>
              </w:numPr>
              <w:tabs>
                <w:tab w:val="left" w:pos="567"/>
              </w:tabs>
              <w:ind w:left="142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sz w:val="24"/>
                <w:szCs w:val="24"/>
                <w:lang w:eastAsia="ru-RU"/>
              </w:rPr>
              <w:t>До</w:t>
            </w:r>
            <w:proofErr w:type="gramStart"/>
            <w:r w:rsidRPr="00FA722E">
              <w:rPr>
                <w:rFonts w:eastAsia="Calibri"/>
                <w:bCs/>
                <w:sz w:val="24"/>
                <w:szCs w:val="24"/>
                <w:lang w:eastAsia="ru-RU"/>
              </w:rPr>
              <w:t>лг с пр</w:t>
            </w:r>
            <w:proofErr w:type="gramEnd"/>
            <w:r w:rsidRPr="00FA722E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оцентной ставкой, подлежащий </w:t>
            </w:r>
            <w:proofErr w:type="spellStart"/>
            <w:r w:rsidRPr="00FA722E">
              <w:rPr>
                <w:rFonts w:eastAsia="Calibri"/>
                <w:bCs/>
                <w:sz w:val="24"/>
                <w:szCs w:val="24"/>
                <w:lang w:eastAsia="ru-RU"/>
              </w:rPr>
              <w:t>рефиксации</w:t>
            </w:r>
            <w:proofErr w:type="spellEnd"/>
            <w:r w:rsidRPr="00FA722E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в течение одного года (% из всего)</w:t>
            </w:r>
          </w:p>
        </w:tc>
        <w:tc>
          <w:tcPr>
            <w:tcW w:w="665" w:type="pct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36,1%</w:t>
            </w:r>
          </w:p>
        </w:tc>
        <w:tc>
          <w:tcPr>
            <w:tcW w:w="467" w:type="pct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46,2%</w:t>
            </w:r>
          </w:p>
        </w:tc>
      </w:tr>
      <w:tr w:rsidR="00323204" w:rsidRPr="00FA722E" w:rsidTr="0084692D">
        <w:trPr>
          <w:trHeight w:val="110"/>
          <w:jc w:val="center"/>
        </w:trPr>
        <w:tc>
          <w:tcPr>
            <w:tcW w:w="3869" w:type="pct"/>
            <w:noWrap/>
          </w:tcPr>
          <w:p w:rsidR="00323204" w:rsidRPr="00FA722E" w:rsidRDefault="00323204" w:rsidP="0084692D">
            <w:pPr>
              <w:numPr>
                <w:ilvl w:val="0"/>
                <w:numId w:val="19"/>
              </w:numPr>
              <w:tabs>
                <w:tab w:val="left" w:pos="567"/>
              </w:tabs>
              <w:ind w:left="142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Долг с фиксированной процентной ставкой, включая казначейские обязательства (% из всего)</w:t>
            </w:r>
          </w:p>
        </w:tc>
        <w:tc>
          <w:tcPr>
            <w:tcW w:w="665" w:type="pct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83,5%</w:t>
            </w:r>
          </w:p>
        </w:tc>
        <w:tc>
          <w:tcPr>
            <w:tcW w:w="467" w:type="pct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71,2%</w:t>
            </w:r>
          </w:p>
        </w:tc>
      </w:tr>
      <w:tr w:rsidR="00323204" w:rsidRPr="00FA722E" w:rsidTr="0084692D">
        <w:trPr>
          <w:trHeight w:val="110"/>
          <w:jc w:val="center"/>
        </w:trPr>
        <w:tc>
          <w:tcPr>
            <w:tcW w:w="3869" w:type="pct"/>
            <w:noWrap/>
          </w:tcPr>
          <w:p w:rsidR="00323204" w:rsidRPr="00FA722E" w:rsidRDefault="00323204" w:rsidP="0084692D">
            <w:pPr>
              <w:numPr>
                <w:ilvl w:val="0"/>
                <w:numId w:val="19"/>
              </w:numPr>
              <w:tabs>
                <w:tab w:val="left" w:pos="567"/>
              </w:tabs>
              <w:ind w:left="142"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 xml:space="preserve">Долг в форме казначейских обязательств (% из всего) </w:t>
            </w:r>
          </w:p>
        </w:tc>
        <w:tc>
          <w:tcPr>
            <w:tcW w:w="665" w:type="pct"/>
            <w:noWrap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15,1%</w:t>
            </w:r>
          </w:p>
        </w:tc>
        <w:tc>
          <w:tcPr>
            <w:tcW w:w="467" w:type="pct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13,0%</w:t>
            </w:r>
          </w:p>
        </w:tc>
      </w:tr>
    </w:tbl>
    <w:p w:rsidR="00323204" w:rsidRPr="00FA722E" w:rsidRDefault="00323204" w:rsidP="00323204">
      <w:pPr>
        <w:keepNext/>
        <w:tabs>
          <w:tab w:val="left" w:pos="567"/>
        </w:tabs>
        <w:ind w:firstLine="0"/>
        <w:outlineLvl w:val="0"/>
        <w:rPr>
          <w:rFonts w:eastAsia="Calibri"/>
          <w:i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i/>
          <w:color w:val="000000"/>
          <w:kern w:val="32"/>
          <w:sz w:val="24"/>
          <w:szCs w:val="24"/>
          <w:lang w:eastAsia="ru-RU"/>
        </w:rPr>
        <w:t>*По состоянию на  30 июня 2018г</w:t>
      </w:r>
    </w:p>
    <w:p w:rsidR="00323204" w:rsidRPr="00FA722E" w:rsidRDefault="00323204" w:rsidP="00323204">
      <w:pPr>
        <w:keepNext/>
        <w:tabs>
          <w:tab w:val="left" w:pos="567"/>
        </w:tabs>
        <w:ind w:firstLine="0"/>
        <w:outlineLvl w:val="0"/>
        <w:rPr>
          <w:rFonts w:eastAsia="Calibri"/>
          <w:i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i/>
          <w:color w:val="000000"/>
          <w:kern w:val="32"/>
          <w:sz w:val="24"/>
          <w:szCs w:val="24"/>
          <w:lang w:eastAsia="ru-RU"/>
        </w:rPr>
        <w:t xml:space="preserve">** </w:t>
      </w:r>
      <w:proofErr w:type="gramStart"/>
      <w:r w:rsidRPr="00FA722E">
        <w:rPr>
          <w:rFonts w:eastAsia="Calibri"/>
          <w:i/>
          <w:color w:val="000000"/>
          <w:kern w:val="32"/>
          <w:sz w:val="24"/>
          <w:szCs w:val="24"/>
          <w:lang w:eastAsia="ru-RU"/>
        </w:rPr>
        <w:t>АТМ</w:t>
      </w:r>
      <w:proofErr w:type="gramEnd"/>
      <w:r w:rsidRPr="00FA722E">
        <w:rPr>
          <w:rFonts w:eastAsia="Calibri"/>
          <w:i/>
          <w:color w:val="000000"/>
          <w:kern w:val="32"/>
          <w:sz w:val="24"/>
          <w:szCs w:val="24"/>
          <w:lang w:eastAsia="ru-RU"/>
        </w:rPr>
        <w:t xml:space="preserve"> означает средний период погашения долга, а ATR – средний период </w:t>
      </w:r>
      <w:proofErr w:type="spellStart"/>
      <w:r w:rsidRPr="00FA722E">
        <w:rPr>
          <w:rFonts w:eastAsia="Calibri"/>
          <w:i/>
          <w:color w:val="000000"/>
          <w:kern w:val="32"/>
          <w:sz w:val="24"/>
          <w:szCs w:val="24"/>
          <w:lang w:eastAsia="ru-RU"/>
        </w:rPr>
        <w:t>рефиксации</w:t>
      </w:r>
      <w:proofErr w:type="spellEnd"/>
      <w:r w:rsidRPr="00FA722E">
        <w:rPr>
          <w:rFonts w:eastAsia="Calibri"/>
          <w:i/>
          <w:color w:val="000000"/>
          <w:kern w:val="32"/>
          <w:sz w:val="24"/>
          <w:szCs w:val="24"/>
          <w:lang w:eastAsia="ru-RU"/>
        </w:rPr>
        <w:t xml:space="preserve"> долга.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i/>
          <w:color w:val="000000"/>
          <w:kern w:val="32"/>
          <w:sz w:val="24"/>
          <w:szCs w:val="24"/>
          <w:lang w:eastAsia="ru-RU"/>
        </w:rPr>
      </w:pP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Показатели рыночного риска, связанные с государственным долгом, к концу 2021 года указывают на то, что портфель государственного долга будет подвержен и в дальнейшем валютному риску, в результате того, что 60% остатка государственного долга будет выражено в иностранной валюте.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Одновременно, государственный долг с фиксированной процентной ставкой подтверждает тенденцию к сокращению к концу 2021 года, по сравнению с ситуацией на 30 сентября 2018г., примерно на 12,3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п</w:t>
      </w: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.п</w:t>
      </w:r>
      <w:proofErr w:type="spellEnd"/>
      <w:proofErr w:type="gram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, а средний период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рефиксации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государственного долга уменьшится на 2,5 года. Данные изменения происходят преимущественно в результате уменьшения внешнего финансирования на концессионных и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полуконцессионных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условиях, а также увеличения поступлений займов от двусторонних кредиторов с плавающей процентной ставкой (Правительство Китая, Банк развития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Белоруси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).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В результате уменьшения внешнего финансирования на концессионных условиях, а также  по мере выполнения графика возврата и постепенного </w:t>
      </w: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lastRenderedPageBreak/>
        <w:t>увеличения сумм, предназначенных для возврата платежных обязательств, вытекающих из государственных гарантий, предложенных Министерством финансов в течение 2014 и 2015 годов (Закон № 235/2016 о выпуске государственных облигаций во исполнение Министерством финансов платежных обязательств, вытекающих из государственных гарантий  № 807 от 17 ноября 2014 г</w:t>
      </w:r>
      <w:proofErr w:type="gram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. и № 101 от 1 апреля 2015 г.), значительно уменьшится средний период погашения/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рефиксации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для внутреннего государственного долга, примерно на 3,7 лет каждый.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Также, вследствие внедрения Министерством финансов </w:t>
      </w: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политики увеличения срока погашения портфеля внутреннего государственного долга</w:t>
      </w:r>
      <w:proofErr w:type="gram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и постепенного увеличения доли ГЦБ с более длительным сроком обращения, долг в форме казначейских обязательств уменьшится на 2,1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п.п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. из общего портфеля государственного долга к концу 2021 года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В то же время, ситуация на внутреннем рынке может обостриться по причине предпочтения инвесторами ГЦБ с коротким сроком обращения и пока еще небольшого объема ГЦБ, выпущенных на рынок Министерством финансов, исходя из высоких затрат на обслуживание данных инструментов по сравнению с затратами внешнего финансирования.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b/>
          <w:color w:val="000000"/>
          <w:kern w:val="32"/>
          <w:sz w:val="27"/>
          <w:szCs w:val="27"/>
          <w:lang w:eastAsia="ru-RU"/>
        </w:rPr>
      </w:pPr>
    </w:p>
    <w:p w:rsidR="00323204" w:rsidRPr="00FA722E" w:rsidRDefault="00323204" w:rsidP="00323204">
      <w:pPr>
        <w:keepNext/>
        <w:tabs>
          <w:tab w:val="left" w:pos="567"/>
        </w:tabs>
        <w:ind w:firstLine="0"/>
        <w:jc w:val="center"/>
        <w:outlineLvl w:val="0"/>
        <w:rPr>
          <w:rFonts w:eastAsia="Calibri"/>
          <w:b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b/>
          <w:color w:val="000000"/>
          <w:kern w:val="32"/>
          <w:sz w:val="27"/>
          <w:szCs w:val="27"/>
          <w:lang w:eastAsia="ru-RU"/>
        </w:rPr>
        <w:t>Операционный риск</w:t>
      </w:r>
    </w:p>
    <w:p w:rsidR="00323204" w:rsidRPr="00FA722E" w:rsidRDefault="00323204" w:rsidP="00323204">
      <w:pPr>
        <w:keepNext/>
        <w:tabs>
          <w:tab w:val="left" w:pos="567"/>
        </w:tabs>
        <w:ind w:firstLine="0"/>
        <w:jc w:val="center"/>
        <w:outlineLvl w:val="0"/>
        <w:rPr>
          <w:rFonts w:eastAsia="Calibri"/>
          <w:b/>
          <w:color w:val="000000"/>
          <w:kern w:val="32"/>
          <w:sz w:val="27"/>
          <w:szCs w:val="27"/>
          <w:lang w:eastAsia="ru-RU"/>
        </w:rPr>
      </w:pP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В среднесрочной перспективе, с целью оптимизации операционного риска, который может повлиять на операции по регистрации, обработке и отчетности данных по государственному долгу, Министерство финансов будет полностью использовать обновленную версию информационной системы управления долгом DMFAS 6.1, установленную в 2016 году, и будет регулярно проводить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валидацию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базы данных в соответствии с существующим Календарем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валидации</w:t>
      </w:r>
      <w:proofErr w:type="spellEnd"/>
      <w:proofErr w:type="gramEnd"/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6"/>
          <w:szCs w:val="26"/>
          <w:lang w:eastAsia="ru-RU"/>
        </w:rPr>
      </w:pPr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>В то же время, сотрудники Управления публичного долга Министерства финансов будут готовы к ответным реакциям, определенным и установленным в Плане управления операционным риском и обеспечения непрерывности деятельности, связанной с управлением государственным долгом на 2018 год. Одновременно будет пересмотрен соответствующий план на 2019 год, параллельно с завершением Плана действий Управления публичного долга на 2019 год.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b/>
          <w:color w:val="000000"/>
          <w:kern w:val="32"/>
          <w:sz w:val="27"/>
          <w:szCs w:val="27"/>
          <w:lang w:eastAsia="ru-RU"/>
        </w:rPr>
      </w:pPr>
    </w:p>
    <w:p w:rsidR="00323204" w:rsidRPr="00FA722E" w:rsidRDefault="00323204" w:rsidP="00323204">
      <w:pPr>
        <w:keepNext/>
        <w:tabs>
          <w:tab w:val="left" w:pos="567"/>
        </w:tabs>
        <w:jc w:val="center"/>
        <w:outlineLvl w:val="0"/>
        <w:rPr>
          <w:rFonts w:eastAsia="Calibri"/>
          <w:b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b/>
          <w:color w:val="000000"/>
          <w:kern w:val="32"/>
          <w:sz w:val="27"/>
          <w:szCs w:val="27"/>
          <w:lang w:eastAsia="ru-RU"/>
        </w:rPr>
        <w:t>Риск материализации  условных обязательств</w:t>
      </w:r>
    </w:p>
    <w:p w:rsidR="00323204" w:rsidRPr="00FA722E" w:rsidRDefault="00323204" w:rsidP="00323204">
      <w:pPr>
        <w:keepNext/>
        <w:tabs>
          <w:tab w:val="left" w:pos="567"/>
        </w:tabs>
        <w:jc w:val="center"/>
        <w:outlineLvl w:val="0"/>
        <w:rPr>
          <w:rFonts w:eastAsia="Calibri"/>
          <w:b/>
          <w:color w:val="000000"/>
          <w:kern w:val="32"/>
          <w:sz w:val="27"/>
          <w:szCs w:val="27"/>
          <w:lang w:eastAsia="ru-RU"/>
        </w:rPr>
      </w:pP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6"/>
          <w:szCs w:val="26"/>
          <w:lang w:eastAsia="ru-RU"/>
        </w:rPr>
      </w:pPr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>Риск материализации условных обязательств, предполагает выплаты, которые могут быть осуществлены Министерством финансов в качестве гаранта.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6"/>
          <w:szCs w:val="26"/>
          <w:lang w:eastAsia="ru-RU"/>
        </w:rPr>
      </w:pPr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>По состоянию на 30 сентября 2018 остаток государственных гарантий по отношению к ВВП в рамках Государственной программы «Первый дом» составил 0,1%, а в среднесрочной перспективе ожидается, что он составит примерно 0,8% от ВВП к концу 2021 года.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6"/>
          <w:szCs w:val="26"/>
          <w:lang w:eastAsia="ru-RU"/>
        </w:rPr>
      </w:pPr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 xml:space="preserve">Учитывая остаток государственных гарантий, которые могут быть выпущены в рамках Государственной программы «Первый дом», риск, связанный с материализацией условных обязательств, остается умеренным, так как оценки касательно выплат, которые должны быть осуществлены из </w:t>
      </w:r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lastRenderedPageBreak/>
        <w:t>государственного бюджета в счет данных гарантий, не превышают 0,02% от ВВП на период 2019-2021гг.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6"/>
          <w:szCs w:val="26"/>
          <w:lang w:eastAsia="ru-RU"/>
        </w:rPr>
      </w:pPr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>Государственная программа «Первый дом» имеет своей целью облегчение доступа физических лиц к приобретению жилья посредством предоставления кредитов, частично гарантированных государством (50% остатка предоставленного кредита), в особенности для молодых семей. Внедрение данной Программы осуществляется посредством Организации для развития малых и средних предприятий.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</w:p>
    <w:p w:rsidR="00323204" w:rsidRPr="00FA722E" w:rsidRDefault="00323204" w:rsidP="00323204">
      <w:pPr>
        <w:keepNext/>
        <w:tabs>
          <w:tab w:val="left" w:pos="567"/>
        </w:tabs>
        <w:ind w:firstLine="0"/>
        <w:jc w:val="center"/>
        <w:outlineLvl w:val="0"/>
        <w:rPr>
          <w:rFonts w:eastAsia="Calibri"/>
          <w:b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b/>
          <w:color w:val="000000"/>
          <w:kern w:val="32"/>
          <w:sz w:val="27"/>
          <w:szCs w:val="27"/>
          <w:lang w:eastAsia="ru-RU"/>
        </w:rPr>
        <w:t>Раздел 2</w:t>
      </w:r>
    </w:p>
    <w:p w:rsidR="00323204" w:rsidRPr="00FA722E" w:rsidRDefault="00323204" w:rsidP="00323204">
      <w:pPr>
        <w:keepNext/>
        <w:tabs>
          <w:tab w:val="left" w:pos="567"/>
        </w:tabs>
        <w:ind w:firstLine="0"/>
        <w:jc w:val="center"/>
        <w:outlineLvl w:val="0"/>
        <w:rPr>
          <w:rFonts w:eastAsia="Calibri"/>
          <w:b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b/>
          <w:color w:val="000000"/>
          <w:kern w:val="32"/>
          <w:sz w:val="27"/>
          <w:szCs w:val="27"/>
          <w:lang w:eastAsia="ru-RU"/>
        </w:rPr>
        <w:t xml:space="preserve"> Шоковые сценарии касательно развития рыночных показателей, влияющих на государственный долг и его обслуживание</w:t>
      </w:r>
    </w:p>
    <w:p w:rsidR="00323204" w:rsidRPr="00FA722E" w:rsidRDefault="00323204" w:rsidP="00323204">
      <w:pPr>
        <w:keepNext/>
        <w:tabs>
          <w:tab w:val="left" w:pos="567"/>
        </w:tabs>
        <w:ind w:firstLine="0"/>
        <w:jc w:val="center"/>
        <w:outlineLvl w:val="0"/>
        <w:rPr>
          <w:rFonts w:eastAsia="Calibri"/>
          <w:b/>
          <w:color w:val="000000"/>
          <w:kern w:val="32"/>
          <w:sz w:val="27"/>
          <w:szCs w:val="27"/>
          <w:lang w:eastAsia="ru-RU"/>
        </w:rPr>
      </w:pP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6"/>
          <w:szCs w:val="26"/>
          <w:lang w:eastAsia="ru-RU"/>
        </w:rPr>
      </w:pPr>
      <w:proofErr w:type="gramStart"/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>Основные риски, связанные с макроэкономическими предположениями основного сценария, показывают, что через призму неопределенности, связанной с будущим годом выборов в Республике Молдова, решения о дальнейшем росте ключевой процентной ставки ФРС, сворачивание программы приобретения активов Европейским центральным банком (ЕЦБ) и ожидания роста процентной ставки, контекст рынка, оцененный на следующий период, является наименее предпочтительным и акцентируется на подверженности  портфеля государственного долга основным рыночным</w:t>
      </w:r>
      <w:proofErr w:type="gramEnd"/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 xml:space="preserve"> рискам. Для рассмотрения волатильности портфеля государственного долга относительно подверженности основным рыночным рискам (риску процентной ставки и валютному риску) было проанализировано влияние потенциальных изменений процентных ставок и обменных курсов на расходы, связанные с государственным долгом.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6"/>
          <w:szCs w:val="26"/>
          <w:lang w:eastAsia="ru-RU"/>
        </w:rPr>
      </w:pPr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 xml:space="preserve">В данном контексте разработано четыре  шоковых сценария A, B, C, и D, в основе которых лежат изменения условий рынка. </w:t>
      </w:r>
      <w:proofErr w:type="gramStart"/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>Аргументацией, лежащей в основе выбранных шоков, было развитие обменных курсов и процентных ставок в течение последних лет, в том числе в течение первых девяти месяцев 2018 года, а также неопределенность, связанная с развитием вышеуказанных финансовых рынков.</w:t>
      </w:r>
      <w:proofErr w:type="gramEnd"/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 xml:space="preserve"> Данные шоки будут применены дополнительно к основному сценарию развития данных показателей.</w:t>
      </w:r>
    </w:p>
    <w:p w:rsidR="00323204" w:rsidRPr="00FA722E" w:rsidRDefault="00323204" w:rsidP="00323204">
      <w:pPr>
        <w:keepNext/>
        <w:tabs>
          <w:tab w:val="left" w:pos="567"/>
          <w:tab w:val="left" w:pos="1134"/>
        </w:tabs>
        <w:outlineLvl w:val="0"/>
        <w:rPr>
          <w:rFonts w:eastAsia="Calibri"/>
          <w:color w:val="000000"/>
          <w:kern w:val="32"/>
          <w:sz w:val="26"/>
          <w:szCs w:val="26"/>
          <w:lang w:eastAsia="ru-RU"/>
        </w:rPr>
      </w:pPr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>Таким образом, далее представлены проанализированные сценарии:</w:t>
      </w:r>
    </w:p>
    <w:p w:rsidR="00323204" w:rsidRPr="00FA722E" w:rsidRDefault="00323204" w:rsidP="00323204">
      <w:pPr>
        <w:keepNext/>
        <w:numPr>
          <w:ilvl w:val="0"/>
          <w:numId w:val="9"/>
        </w:numPr>
        <w:tabs>
          <w:tab w:val="left" w:pos="567"/>
          <w:tab w:val="left" w:pos="1134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6"/>
          <w:szCs w:val="26"/>
          <w:lang w:eastAsia="ru-RU"/>
        </w:rPr>
      </w:pPr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 xml:space="preserve">А – </w:t>
      </w:r>
      <w:r w:rsidRPr="00FA722E">
        <w:rPr>
          <w:rFonts w:eastAsia="Calibri"/>
          <w:i/>
          <w:color w:val="000000"/>
          <w:kern w:val="32"/>
          <w:sz w:val="26"/>
          <w:szCs w:val="26"/>
          <w:lang w:eastAsia="ru-RU"/>
        </w:rPr>
        <w:t>обесценивание национальной валюты</w:t>
      </w:r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 xml:space="preserve"> в 2019 году на 15% по отношению к доллару США и евро;</w:t>
      </w:r>
    </w:p>
    <w:p w:rsidR="00323204" w:rsidRPr="00FA722E" w:rsidRDefault="00323204" w:rsidP="00323204">
      <w:pPr>
        <w:keepNext/>
        <w:numPr>
          <w:ilvl w:val="0"/>
          <w:numId w:val="9"/>
        </w:numPr>
        <w:tabs>
          <w:tab w:val="left" w:pos="567"/>
          <w:tab w:val="left" w:pos="1134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6"/>
          <w:szCs w:val="26"/>
          <w:lang w:eastAsia="ru-RU"/>
        </w:rPr>
      </w:pPr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 xml:space="preserve">В – </w:t>
      </w:r>
      <w:r w:rsidRPr="00FA722E">
        <w:rPr>
          <w:rFonts w:eastAsia="Calibri"/>
          <w:i/>
          <w:color w:val="000000"/>
          <w:kern w:val="32"/>
          <w:sz w:val="26"/>
          <w:szCs w:val="26"/>
          <w:lang w:eastAsia="ru-RU"/>
        </w:rPr>
        <w:t>ежегодное повышение процентных ставок по сравнению с основным сценарием:</w:t>
      </w:r>
    </w:p>
    <w:p w:rsidR="00323204" w:rsidRPr="00FA722E" w:rsidRDefault="00323204" w:rsidP="00323204">
      <w:pPr>
        <w:keepNext/>
        <w:numPr>
          <w:ilvl w:val="0"/>
          <w:numId w:val="10"/>
        </w:numPr>
        <w:tabs>
          <w:tab w:val="left" w:pos="567"/>
          <w:tab w:val="left" w:pos="1134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6"/>
          <w:szCs w:val="26"/>
          <w:lang w:eastAsia="ru-RU"/>
        </w:rPr>
      </w:pPr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 xml:space="preserve">на внешнем рынке на 1,5 </w:t>
      </w:r>
      <w:proofErr w:type="spellStart"/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>п.</w:t>
      </w:r>
      <w:r w:rsidRPr="00FA722E">
        <w:rPr>
          <w:rFonts w:eastAsia="Calibri"/>
          <w:sz w:val="26"/>
          <w:szCs w:val="26"/>
          <w:lang w:eastAsia="ru-RU"/>
        </w:rPr>
        <w:t>п</w:t>
      </w:r>
      <w:proofErr w:type="spellEnd"/>
      <w:r w:rsidRPr="00FA722E">
        <w:rPr>
          <w:rFonts w:eastAsia="Calibri"/>
          <w:sz w:val="26"/>
          <w:szCs w:val="26"/>
          <w:lang w:eastAsia="ru-RU"/>
        </w:rPr>
        <w:t>.;</w:t>
      </w:r>
    </w:p>
    <w:p w:rsidR="00323204" w:rsidRPr="00FA722E" w:rsidRDefault="00323204" w:rsidP="00323204">
      <w:pPr>
        <w:keepNext/>
        <w:numPr>
          <w:ilvl w:val="0"/>
          <w:numId w:val="10"/>
        </w:numPr>
        <w:tabs>
          <w:tab w:val="left" w:pos="567"/>
          <w:tab w:val="left" w:pos="1134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6"/>
          <w:szCs w:val="26"/>
          <w:lang w:eastAsia="ru-RU"/>
        </w:rPr>
      </w:pPr>
      <w:r w:rsidRPr="00FA722E">
        <w:rPr>
          <w:rFonts w:eastAsia="Calibri"/>
          <w:sz w:val="26"/>
          <w:szCs w:val="26"/>
          <w:lang w:eastAsia="ru-RU"/>
        </w:rPr>
        <w:t xml:space="preserve">на внутреннем рынке на 3,0 </w:t>
      </w:r>
      <w:proofErr w:type="spellStart"/>
      <w:r w:rsidRPr="00FA722E">
        <w:rPr>
          <w:rFonts w:eastAsia="Calibri"/>
          <w:sz w:val="26"/>
          <w:szCs w:val="26"/>
          <w:lang w:eastAsia="ru-RU"/>
        </w:rPr>
        <w:t>п.п</w:t>
      </w:r>
      <w:proofErr w:type="spellEnd"/>
      <w:r w:rsidRPr="00FA722E">
        <w:rPr>
          <w:rFonts w:eastAsia="Calibri"/>
          <w:sz w:val="26"/>
          <w:szCs w:val="26"/>
          <w:lang w:eastAsia="ru-RU"/>
        </w:rPr>
        <w:t>.;</w:t>
      </w:r>
    </w:p>
    <w:p w:rsidR="00323204" w:rsidRPr="00FA722E" w:rsidRDefault="00323204" w:rsidP="00323204">
      <w:pPr>
        <w:keepNext/>
        <w:numPr>
          <w:ilvl w:val="0"/>
          <w:numId w:val="9"/>
        </w:numPr>
        <w:tabs>
          <w:tab w:val="left" w:pos="567"/>
          <w:tab w:val="left" w:pos="1134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6"/>
          <w:szCs w:val="26"/>
          <w:lang w:eastAsia="ru-RU"/>
        </w:rPr>
      </w:pPr>
      <w:proofErr w:type="gramStart"/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>С</w:t>
      </w:r>
      <w:proofErr w:type="gramEnd"/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 xml:space="preserve"> – </w:t>
      </w:r>
      <w:r w:rsidRPr="00FA722E">
        <w:rPr>
          <w:rFonts w:eastAsia="Calibri"/>
          <w:i/>
          <w:color w:val="000000"/>
          <w:kern w:val="32"/>
          <w:sz w:val="26"/>
          <w:szCs w:val="26"/>
          <w:lang w:eastAsia="ru-RU"/>
        </w:rPr>
        <w:t>значительное ежегодное повышение процентных ставок по сравнению с основным сценарием:</w:t>
      </w:r>
    </w:p>
    <w:p w:rsidR="00323204" w:rsidRPr="00FA722E" w:rsidRDefault="00323204" w:rsidP="00323204">
      <w:pPr>
        <w:keepNext/>
        <w:numPr>
          <w:ilvl w:val="0"/>
          <w:numId w:val="11"/>
        </w:numPr>
        <w:tabs>
          <w:tab w:val="left" w:pos="567"/>
          <w:tab w:val="left" w:pos="1134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6"/>
          <w:szCs w:val="26"/>
          <w:lang w:eastAsia="ru-RU"/>
        </w:rPr>
      </w:pPr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 xml:space="preserve">на внешнем рынке на 3,0 </w:t>
      </w:r>
      <w:proofErr w:type="spellStart"/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>п.</w:t>
      </w:r>
      <w:r w:rsidRPr="00FA722E">
        <w:rPr>
          <w:rFonts w:eastAsia="Calibri"/>
          <w:sz w:val="26"/>
          <w:szCs w:val="26"/>
          <w:lang w:eastAsia="ru-RU"/>
        </w:rPr>
        <w:t>п</w:t>
      </w:r>
      <w:proofErr w:type="spellEnd"/>
      <w:r w:rsidRPr="00FA722E">
        <w:rPr>
          <w:rFonts w:eastAsia="Calibri"/>
          <w:sz w:val="26"/>
          <w:szCs w:val="26"/>
          <w:lang w:eastAsia="ru-RU"/>
        </w:rPr>
        <w:t>.;</w:t>
      </w:r>
    </w:p>
    <w:p w:rsidR="00323204" w:rsidRPr="00FA722E" w:rsidRDefault="00323204" w:rsidP="00323204">
      <w:pPr>
        <w:keepNext/>
        <w:numPr>
          <w:ilvl w:val="0"/>
          <w:numId w:val="11"/>
        </w:numPr>
        <w:tabs>
          <w:tab w:val="left" w:pos="567"/>
          <w:tab w:val="left" w:pos="1134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6"/>
          <w:szCs w:val="26"/>
          <w:lang w:eastAsia="ru-RU"/>
        </w:rPr>
      </w:pPr>
      <w:r w:rsidRPr="00FA722E">
        <w:rPr>
          <w:rFonts w:eastAsia="Calibri"/>
          <w:sz w:val="26"/>
          <w:szCs w:val="26"/>
          <w:lang w:eastAsia="ru-RU"/>
        </w:rPr>
        <w:t xml:space="preserve">на внутреннем рынке на 6,0 </w:t>
      </w:r>
      <w:proofErr w:type="spellStart"/>
      <w:r w:rsidRPr="00FA722E">
        <w:rPr>
          <w:rFonts w:eastAsia="Calibri"/>
          <w:sz w:val="26"/>
          <w:szCs w:val="26"/>
          <w:lang w:eastAsia="ru-RU"/>
        </w:rPr>
        <w:t>п</w:t>
      </w:r>
      <w:proofErr w:type="gramStart"/>
      <w:r w:rsidRPr="00FA722E">
        <w:rPr>
          <w:rFonts w:eastAsia="Calibri"/>
          <w:sz w:val="26"/>
          <w:szCs w:val="26"/>
          <w:lang w:eastAsia="ru-RU"/>
        </w:rPr>
        <w:t>.п</w:t>
      </w:r>
      <w:proofErr w:type="spellEnd"/>
      <w:proofErr w:type="gramEnd"/>
      <w:r w:rsidRPr="00FA722E">
        <w:rPr>
          <w:rFonts w:eastAsia="Calibri"/>
          <w:sz w:val="26"/>
          <w:szCs w:val="26"/>
          <w:lang w:eastAsia="ru-RU"/>
        </w:rPr>
        <w:t>;</w:t>
      </w:r>
    </w:p>
    <w:p w:rsidR="00323204" w:rsidRPr="00FA722E" w:rsidRDefault="00323204" w:rsidP="00323204">
      <w:pPr>
        <w:keepNext/>
        <w:numPr>
          <w:ilvl w:val="0"/>
          <w:numId w:val="9"/>
        </w:numPr>
        <w:tabs>
          <w:tab w:val="left" w:pos="567"/>
          <w:tab w:val="left" w:pos="1134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6"/>
          <w:szCs w:val="26"/>
          <w:lang w:eastAsia="ru-RU"/>
        </w:rPr>
      </w:pPr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 xml:space="preserve">D – </w:t>
      </w:r>
      <w:r w:rsidRPr="00FA722E">
        <w:rPr>
          <w:rFonts w:eastAsia="Calibri"/>
          <w:i/>
          <w:color w:val="000000"/>
          <w:kern w:val="32"/>
          <w:sz w:val="26"/>
          <w:szCs w:val="26"/>
          <w:lang w:eastAsia="ru-RU"/>
        </w:rPr>
        <w:t>комбинированный шок</w:t>
      </w:r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 xml:space="preserve"> между обесцениванием национальной валюты на 10% по отношению к доллару США и евро одновременно в 2019 году и вторым сценарием (В).</w:t>
      </w:r>
    </w:p>
    <w:p w:rsidR="00323204" w:rsidRPr="00FA722E" w:rsidRDefault="00323204" w:rsidP="00323204">
      <w:pPr>
        <w:keepNext/>
        <w:tabs>
          <w:tab w:val="left" w:pos="567"/>
          <w:tab w:val="left" w:pos="1134"/>
        </w:tabs>
        <w:outlineLvl w:val="0"/>
        <w:rPr>
          <w:rFonts w:eastAsia="Calibri"/>
          <w:color w:val="000000"/>
          <w:kern w:val="32"/>
          <w:sz w:val="26"/>
          <w:szCs w:val="26"/>
          <w:lang w:eastAsia="ru-RU"/>
        </w:rPr>
      </w:pPr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>Изменение процентных ставок на внешнем рынке относится к плавающим процентным ставкам (</w:t>
      </w:r>
      <w:proofErr w:type="spellStart"/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>Euribor</w:t>
      </w:r>
      <w:proofErr w:type="spellEnd"/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 xml:space="preserve"> на 6 месяцев, USD </w:t>
      </w:r>
      <w:proofErr w:type="spellStart"/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>Libor</w:t>
      </w:r>
      <w:proofErr w:type="spellEnd"/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 xml:space="preserve"> на 6 месяцев).</w:t>
      </w:r>
    </w:p>
    <w:p w:rsidR="00323204" w:rsidRPr="00FA722E" w:rsidRDefault="00323204" w:rsidP="00323204">
      <w:pPr>
        <w:keepNext/>
        <w:tabs>
          <w:tab w:val="left" w:pos="567"/>
        </w:tabs>
        <w:outlineLvl w:val="0"/>
        <w:rPr>
          <w:rFonts w:eastAsia="Calibri"/>
          <w:color w:val="000000"/>
          <w:kern w:val="32"/>
          <w:sz w:val="26"/>
          <w:szCs w:val="26"/>
          <w:lang w:eastAsia="ru-RU"/>
        </w:rPr>
      </w:pPr>
      <w:proofErr w:type="gramStart"/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lastRenderedPageBreak/>
        <w:t>В целях наблюдения  за влиянием установленных шоков на портфель государственного долга в совокупности со стратегией</w:t>
      </w:r>
      <w:proofErr w:type="gramEnd"/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 xml:space="preserve"> финансирования в среднесрочной перспективе проанализированы показатели: доля государственного долга в ВВП; текущий размер государственного долга в ВВП; доля обслуживания государственного долга в ВВП; доля обслуживания (выплата процентов)  государственного долга в ВВП и доля обслуживания (выплата процентов) государственного долга по сравнению с доходами государственного бюджета по состоянию </w:t>
      </w:r>
      <w:proofErr w:type="gramStart"/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>на конец</w:t>
      </w:r>
      <w:proofErr w:type="gramEnd"/>
      <w:r w:rsidRPr="00FA722E">
        <w:rPr>
          <w:rFonts w:eastAsia="Calibri"/>
          <w:color w:val="000000"/>
          <w:kern w:val="32"/>
          <w:sz w:val="26"/>
          <w:szCs w:val="26"/>
          <w:lang w:eastAsia="ru-RU"/>
        </w:rPr>
        <w:t xml:space="preserve"> 2021 года. Развитие данных показателей представляет вариации остатка государственного долга и связанных с ним расходов под влиянием основного сценария, а также вышеуказанных шоков. Основной сценарий предусматривает прогноз властей касательно развития процентных ставок и ставок обменного курса, исходя из текущих условий местного и международных рынков.</w:t>
      </w:r>
    </w:p>
    <w:tbl>
      <w:tblPr>
        <w:tblW w:w="9412" w:type="dxa"/>
        <w:jc w:val="center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412"/>
      </w:tblGrid>
      <w:tr w:rsidR="00323204" w:rsidRPr="00FA722E" w:rsidTr="0084692D">
        <w:trPr>
          <w:trHeight w:val="4243"/>
          <w:jc w:val="center"/>
        </w:trPr>
        <w:tc>
          <w:tcPr>
            <w:tcW w:w="9412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double" w:sz="4" w:space="0" w:color="365F91"/>
            </w:tcBorders>
            <w:vAlign w:val="center"/>
          </w:tcPr>
          <w:p w:rsidR="00323204" w:rsidRPr="00FA722E" w:rsidRDefault="00323204" w:rsidP="0084692D">
            <w:pPr>
              <w:tabs>
                <w:tab w:val="left" w:pos="540"/>
                <w:tab w:val="left" w:pos="567"/>
              </w:tabs>
              <w:spacing w:after="160" w:line="259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-84455</wp:posOffset>
                  </wp:positionV>
                  <wp:extent cx="1844675" cy="1224915"/>
                  <wp:effectExtent l="0" t="0" r="317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2773045</wp:posOffset>
                  </wp:positionH>
                  <wp:positionV relativeFrom="paragraph">
                    <wp:posOffset>-78740</wp:posOffset>
                  </wp:positionV>
                  <wp:extent cx="1835150" cy="12192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722E">
              <w:rPr>
                <w:rFonts w:ascii="Calibri" w:eastAsia="Calibri" w:hAnsi="Calibri"/>
                <w:sz w:val="24"/>
                <w:szCs w:val="24"/>
              </w:rPr>
              <w:t xml:space="preserve">                       </w:t>
            </w:r>
          </w:p>
          <w:p w:rsidR="00323204" w:rsidRPr="00FA722E" w:rsidRDefault="00323204" w:rsidP="0084692D">
            <w:pPr>
              <w:tabs>
                <w:tab w:val="left" w:pos="540"/>
                <w:tab w:val="left" w:pos="567"/>
              </w:tabs>
              <w:spacing w:after="160" w:line="259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</w:p>
          <w:p w:rsidR="00323204" w:rsidRPr="00FA722E" w:rsidRDefault="00323204" w:rsidP="0084692D">
            <w:pPr>
              <w:tabs>
                <w:tab w:val="left" w:pos="540"/>
                <w:tab w:val="left" w:pos="567"/>
              </w:tabs>
              <w:spacing w:after="160" w:line="259" w:lineRule="auto"/>
              <w:ind w:firstLine="0"/>
              <w:jc w:val="left"/>
              <w:rPr>
                <w:rFonts w:ascii="Calibri" w:eastAsia="Calibri" w:hAnsi="Calibri"/>
                <w:sz w:val="24"/>
                <w:szCs w:val="24"/>
              </w:rPr>
            </w:pPr>
            <w:r w:rsidRPr="00FA722E">
              <w:rPr>
                <w:rFonts w:ascii="Calibri" w:eastAsia="Calibri" w:hAnsi="Calibri"/>
                <w:sz w:val="24"/>
                <w:szCs w:val="24"/>
              </w:rPr>
              <w:t xml:space="preserve">            </w:t>
            </w:r>
          </w:p>
          <w:p w:rsidR="00323204" w:rsidRPr="00FA722E" w:rsidRDefault="00323204" w:rsidP="0084692D">
            <w:pPr>
              <w:tabs>
                <w:tab w:val="left" w:pos="540"/>
                <w:tab w:val="left" w:pos="567"/>
              </w:tabs>
              <w:spacing w:after="160" w:line="259" w:lineRule="auto"/>
              <w:ind w:hanging="4"/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296545</wp:posOffset>
                  </wp:positionV>
                  <wp:extent cx="2006600" cy="13169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722E">
              <w:rPr>
                <w:rFonts w:ascii="Calibri" w:eastAsia="Calibri" w:hAnsi="Calibri"/>
                <w:sz w:val="24"/>
                <w:szCs w:val="24"/>
              </w:rPr>
              <w:t xml:space="preserve">                      </w:t>
            </w:r>
          </w:p>
          <w:p w:rsidR="00323204" w:rsidRPr="00FA722E" w:rsidRDefault="00323204" w:rsidP="0084692D">
            <w:pPr>
              <w:tabs>
                <w:tab w:val="left" w:pos="540"/>
                <w:tab w:val="left" w:pos="567"/>
              </w:tabs>
              <w:spacing w:after="160" w:line="259" w:lineRule="auto"/>
              <w:ind w:hanging="4"/>
              <w:jc w:val="left"/>
              <w:rPr>
                <w:rFonts w:ascii="Calibri" w:eastAsia="Calibri" w:hAnsi="Calibri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3992880</wp:posOffset>
                  </wp:positionH>
                  <wp:positionV relativeFrom="paragraph">
                    <wp:posOffset>29210</wp:posOffset>
                  </wp:positionV>
                  <wp:extent cx="1894840" cy="1330325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1978660</wp:posOffset>
                  </wp:positionH>
                  <wp:positionV relativeFrom="paragraph">
                    <wp:posOffset>20320</wp:posOffset>
                  </wp:positionV>
                  <wp:extent cx="1971675" cy="131572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1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722E">
              <w:rPr>
                <w:rFonts w:ascii="Calibri" w:eastAsia="Calibri" w:hAnsi="Calibri"/>
                <w:sz w:val="24"/>
                <w:szCs w:val="24"/>
              </w:rPr>
              <w:t xml:space="preserve">  </w:t>
            </w:r>
            <w:r w:rsidRPr="00FA722E">
              <w:rPr>
                <w:rFonts w:ascii="Calibri" w:eastAsia="Calibri" w:hAnsi="Calibri"/>
                <w:noProof/>
                <w:sz w:val="24"/>
                <w:szCs w:val="24"/>
              </w:rPr>
              <w:t xml:space="preserve">                 </w:t>
            </w:r>
          </w:p>
        </w:tc>
      </w:tr>
    </w:tbl>
    <w:p w:rsidR="00323204" w:rsidRDefault="00323204" w:rsidP="00323204">
      <w:pPr>
        <w:keepNext/>
        <w:tabs>
          <w:tab w:val="left" w:pos="567"/>
          <w:tab w:val="left" w:pos="993"/>
        </w:tabs>
        <w:outlineLvl w:val="0"/>
        <w:rPr>
          <w:rFonts w:eastAsia="Calibri"/>
          <w:color w:val="000000"/>
          <w:kern w:val="32"/>
          <w:sz w:val="24"/>
          <w:szCs w:val="24"/>
          <w:lang w:eastAsia="ru-RU"/>
        </w:rPr>
      </w:pPr>
    </w:p>
    <w:p w:rsidR="00323204" w:rsidRPr="00E242D4" w:rsidRDefault="00323204" w:rsidP="00323204">
      <w:pPr>
        <w:ind w:firstLine="0"/>
        <w:rPr>
          <w:rFonts w:eastAsia="Calibri"/>
          <w:i/>
          <w:iCs/>
          <w:color w:val="000000"/>
          <w:kern w:val="32"/>
          <w:sz w:val="24"/>
          <w:szCs w:val="24"/>
          <w:lang w:eastAsia="ru-RU"/>
        </w:rPr>
      </w:pPr>
      <w:r w:rsidRPr="00E242D4">
        <w:rPr>
          <w:rFonts w:eastAsia="Calibri"/>
          <w:i/>
          <w:iCs/>
          <w:color w:val="000000"/>
          <w:kern w:val="32"/>
          <w:sz w:val="24"/>
          <w:szCs w:val="24"/>
          <w:lang w:eastAsia="ru-RU"/>
        </w:rPr>
        <w:t xml:space="preserve">Рис 1. Развитие показателей государственного долга в результате применения шоков касательно развития показателей рынка к основному сценарию финансирования, по состоянию </w:t>
      </w:r>
      <w:proofErr w:type="gramStart"/>
      <w:r w:rsidRPr="00E242D4">
        <w:rPr>
          <w:rFonts w:eastAsia="Calibri"/>
          <w:i/>
          <w:iCs/>
          <w:color w:val="000000"/>
          <w:kern w:val="32"/>
          <w:sz w:val="24"/>
          <w:szCs w:val="24"/>
          <w:lang w:eastAsia="ru-RU"/>
        </w:rPr>
        <w:t>на конец</w:t>
      </w:r>
      <w:proofErr w:type="gramEnd"/>
      <w:r w:rsidRPr="00E242D4">
        <w:rPr>
          <w:rFonts w:eastAsia="Calibri"/>
          <w:i/>
          <w:iCs/>
          <w:color w:val="000000"/>
          <w:kern w:val="32"/>
          <w:sz w:val="24"/>
          <w:szCs w:val="24"/>
          <w:lang w:eastAsia="ru-RU"/>
        </w:rPr>
        <w:t xml:space="preserve"> 2021 года</w:t>
      </w:r>
    </w:p>
    <w:p w:rsidR="00323204" w:rsidRPr="00E242D4" w:rsidRDefault="00323204" w:rsidP="00323204">
      <w:pPr>
        <w:keepNext/>
        <w:tabs>
          <w:tab w:val="left" w:pos="567"/>
          <w:tab w:val="left" w:pos="993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</w:p>
    <w:p w:rsidR="00323204" w:rsidRPr="00FA722E" w:rsidRDefault="00323204" w:rsidP="00323204">
      <w:pPr>
        <w:keepNext/>
        <w:tabs>
          <w:tab w:val="left" w:pos="567"/>
          <w:tab w:val="left" w:pos="993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Проведенный анализ показывает, что валютный риск и риск процентной ставки остаются в дальнейшем рисками, связанными с портфелем государственного долга, которые не должны быть оставлены без внимания. В случае пессимистичных сценариев развития местных и международных рынков (сценарии А-</w:t>
      </w: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D</w:t>
      </w:r>
      <w:proofErr w:type="gram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), основные выводы, сформулированные на основании представленных данных, следующие:</w:t>
      </w:r>
    </w:p>
    <w:p w:rsidR="00323204" w:rsidRPr="00FA722E" w:rsidRDefault="00323204" w:rsidP="00323204">
      <w:pPr>
        <w:keepNext/>
        <w:numPr>
          <w:ilvl w:val="0"/>
          <w:numId w:val="12"/>
        </w:numPr>
        <w:tabs>
          <w:tab w:val="left" w:pos="567"/>
          <w:tab w:val="left" w:pos="993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доля государственного долга в ВВП представляет самую высокую подверженность влиянию сценария D. Таким образом, при обесценивании на 10% молдавского лея, примененного в 2019 году, по отношению к доллару США и евро и умеренном увеличении процентной ставки доля государственного долга в ВВП может увеличиться на 2,4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п.п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.;</w:t>
      </w:r>
    </w:p>
    <w:p w:rsidR="00323204" w:rsidRPr="00FA722E" w:rsidRDefault="00323204" w:rsidP="00323204">
      <w:pPr>
        <w:keepNext/>
        <w:numPr>
          <w:ilvl w:val="0"/>
          <w:numId w:val="12"/>
        </w:numPr>
        <w:tabs>
          <w:tab w:val="left" w:pos="567"/>
          <w:tab w:val="left" w:pos="993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текущий размер государственного долга в ВВП может увеличиться на 2,9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п.п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. к концу 2021 года в случае значительного увеличения процентной ставки на внутреннем и международном рынке (шоковый сценарий С) и уменьшения степени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концессионности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новых приобретенных задолженностей;</w:t>
      </w:r>
    </w:p>
    <w:p w:rsidR="00323204" w:rsidRPr="00FA722E" w:rsidRDefault="00323204" w:rsidP="00323204">
      <w:pPr>
        <w:keepNext/>
        <w:numPr>
          <w:ilvl w:val="0"/>
          <w:numId w:val="12"/>
        </w:numPr>
        <w:tabs>
          <w:tab w:val="left" w:pos="567"/>
          <w:tab w:val="left" w:pos="993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обслуживание (выплата процентов) государственного долга, то есть связанные с этим расходы, подвержены в большей мере риску процентной ставки. Таким образом, в случае шока, связанного со значительным увеличением процентных ставок, показатель доли обслуживания (выплата процентов) государственного долга в ВВП увеличится на 0,8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п</w:t>
      </w: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.п</w:t>
      </w:r>
      <w:proofErr w:type="spellEnd"/>
      <w:proofErr w:type="gram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, а показатель обслуживания (выплата процентов) государственного долга по сравнению с доходами государственного бюджета увеличится на 4,2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п.п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., с 5.3% до 9,5%.</w:t>
      </w:r>
    </w:p>
    <w:p w:rsidR="00323204" w:rsidRPr="00FA722E" w:rsidRDefault="00323204" w:rsidP="00323204">
      <w:pPr>
        <w:keepNext/>
        <w:tabs>
          <w:tab w:val="left" w:pos="567"/>
          <w:tab w:val="left" w:pos="993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ab/>
        <w:t xml:space="preserve">Принимая во </w:t>
      </w: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внимание</w:t>
      </w:r>
      <w:proofErr w:type="gram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представленное выше, можно заключить, что портфель государственного долга соответствует в среднесрочной перспективе разумным ограничениям касательно сопутствующих рисков, но валютный риск и риск процентной ставки могут оказывать давление на портфель государственного долга в случае значительных изменений рыночных показателей. Одновременно, хотя Министерством финансов был зарегистрирован прогресс за последние годы в том, что касается уменьшения риска рефинансирования ГЦБ, выпущенных на первичном рынке, в любом случае, учитывая преимущественно небольшой срок погашения данных инструментов, этот риск также нельзя оставить без внимания.</w:t>
      </w:r>
    </w:p>
    <w:p w:rsidR="00323204" w:rsidRPr="00FA722E" w:rsidRDefault="00323204" w:rsidP="00323204">
      <w:pPr>
        <w:keepNext/>
        <w:tabs>
          <w:tab w:val="left" w:pos="567"/>
          <w:tab w:val="left" w:pos="993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Таким образом, в среднесрочной перспективе действия Министерства финансов будут сфокусированы </w:t>
      </w: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на</w:t>
      </w:r>
      <w:proofErr w:type="gram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:</w:t>
      </w:r>
    </w:p>
    <w:p w:rsidR="00323204" w:rsidRPr="00FA722E" w:rsidRDefault="00323204" w:rsidP="00323204">
      <w:pPr>
        <w:keepNext/>
        <w:numPr>
          <w:ilvl w:val="0"/>
          <w:numId w:val="13"/>
        </w:numPr>
        <w:tabs>
          <w:tab w:val="left" w:pos="567"/>
          <w:tab w:val="left" w:pos="993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дальнейшем</w:t>
      </w:r>
      <w:proofErr w:type="gram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 осуществлении подхода к предсказуемой и гибкой политике выпуска ГЦБ на рынке, адаптированной к требованиям инвестиционной среды. Акцент будет сделан на расширение срока погашения внутреннего государственного долга, параллельно с консолидацией ликвидности по соответствующим срокам погашения;</w:t>
      </w:r>
    </w:p>
    <w:p w:rsidR="00323204" w:rsidRPr="00FA722E" w:rsidRDefault="00323204" w:rsidP="00323204">
      <w:pPr>
        <w:keepNext/>
        <w:numPr>
          <w:ilvl w:val="0"/>
          <w:numId w:val="13"/>
        </w:numPr>
        <w:tabs>
          <w:tab w:val="left" w:pos="567"/>
          <w:tab w:val="left" w:pos="993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анализ возможности расширения инвестиционной базы, в том числе путем привлечения иностранных инвесторов и создания для них благоприятных условий для инвестирования в ГЦБ в национальной валюте;</w:t>
      </w:r>
    </w:p>
    <w:p w:rsidR="00323204" w:rsidRPr="00FA722E" w:rsidRDefault="00323204" w:rsidP="00323204">
      <w:pPr>
        <w:keepNext/>
        <w:numPr>
          <w:ilvl w:val="0"/>
          <w:numId w:val="13"/>
        </w:numPr>
        <w:tabs>
          <w:tab w:val="left" w:pos="567"/>
          <w:tab w:val="left" w:pos="993"/>
        </w:tabs>
        <w:spacing w:after="160" w:line="259" w:lineRule="auto"/>
        <w:ind w:left="0" w:firstLine="709"/>
        <w:contextualSpacing/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внедрение операций по управлению пассивами, а именно: досрочный выкуп и операции </w:t>
      </w:r>
      <w:proofErr w:type="spellStart"/>
      <w:r w:rsidRPr="00FA722E">
        <w:rPr>
          <w:rFonts w:eastAsia="Calibri"/>
          <w:i/>
          <w:color w:val="000000"/>
          <w:kern w:val="32"/>
          <w:sz w:val="27"/>
          <w:szCs w:val="27"/>
          <w:lang w:eastAsia="ru-RU"/>
        </w:rPr>
        <w:t>switch</w:t>
      </w:r>
      <w:proofErr w:type="spellEnd"/>
      <w:r w:rsidRPr="00FA722E">
        <w:rPr>
          <w:rFonts w:eastAsia="Calibri"/>
          <w:i/>
          <w:color w:val="000000"/>
          <w:kern w:val="32"/>
          <w:sz w:val="27"/>
          <w:szCs w:val="27"/>
          <w:lang w:eastAsia="ru-RU"/>
        </w:rPr>
        <w:t xml:space="preserve"> </w:t>
      </w: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для внутреннего государственного долга, конверсия </w:t>
      </w: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lastRenderedPageBreak/>
        <w:t>для внешнего государственного долга, с уменьшением затрат на обслуживание государственного долга в качестве основной цели.</w:t>
      </w:r>
    </w:p>
    <w:p w:rsidR="00323204" w:rsidRPr="00FA722E" w:rsidRDefault="00323204" w:rsidP="00323204">
      <w:pPr>
        <w:keepNext/>
        <w:tabs>
          <w:tab w:val="left" w:pos="567"/>
          <w:tab w:val="left" w:pos="993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Детальная информация о рисках, которые могут повлиять на внедрение управления государственным долгом в среднесрочной перспективе, воздействие и предложенные меры по их снижению представлены в приложении к настоящей программе. </w:t>
      </w:r>
    </w:p>
    <w:p w:rsidR="00323204" w:rsidRPr="00FA722E" w:rsidRDefault="00323204" w:rsidP="00323204">
      <w:pPr>
        <w:keepNext/>
        <w:tabs>
          <w:tab w:val="left" w:pos="567"/>
          <w:tab w:val="left" w:pos="993"/>
        </w:tabs>
        <w:outlineLvl w:val="0"/>
        <w:rPr>
          <w:rFonts w:eastAsia="Calibri"/>
          <w:color w:val="000000"/>
          <w:kern w:val="32"/>
          <w:sz w:val="27"/>
          <w:szCs w:val="27"/>
          <w:lang w:eastAsia="ru-RU"/>
        </w:rPr>
      </w:pPr>
      <w:proofErr w:type="gram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Прогресс касательно внедрения мер, содержащихся в настоящей Программе, будет включен в Годовой отчет о долге публичного сектора, государственных гарантиях и государственном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рекредитовании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 xml:space="preserve">, а информация о соответствии параметров риска/устойчивости в пределах, установленных Программой, будет включена в Статистический ежемесячный бюллетень о государственном долге/Квартальный отчет о долге публичного сектора, государственных гарантиях и государственном </w:t>
      </w:r>
      <w:proofErr w:type="spellStart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рекредитовании</w:t>
      </w:r>
      <w:proofErr w:type="spellEnd"/>
      <w:r w:rsidRPr="00FA722E">
        <w:rPr>
          <w:rFonts w:eastAsia="Calibri"/>
          <w:color w:val="000000"/>
          <w:kern w:val="32"/>
          <w:sz w:val="27"/>
          <w:szCs w:val="27"/>
          <w:lang w:eastAsia="ru-RU"/>
        </w:rPr>
        <w:t>, которые публикуются на веб-странице Министерства финансов.</w:t>
      </w:r>
      <w:proofErr w:type="gramEnd"/>
    </w:p>
    <w:p w:rsidR="00323204" w:rsidRPr="00FA722E" w:rsidRDefault="00323204" w:rsidP="00323204">
      <w:pPr>
        <w:keepNext/>
        <w:tabs>
          <w:tab w:val="left" w:pos="567"/>
          <w:tab w:val="left" w:pos="993"/>
        </w:tabs>
        <w:outlineLvl w:val="0"/>
        <w:rPr>
          <w:rFonts w:eastAsia="Calibri"/>
          <w:color w:val="000000"/>
          <w:kern w:val="32"/>
          <w:sz w:val="24"/>
          <w:szCs w:val="24"/>
          <w:lang w:eastAsia="ru-RU"/>
        </w:rPr>
        <w:sectPr w:rsidR="00323204" w:rsidRPr="00FA722E" w:rsidSect="00C659E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-232" w:right="964" w:bottom="1418" w:left="1814" w:header="709" w:footer="709" w:gutter="0"/>
          <w:cols w:space="708"/>
          <w:titlePg/>
          <w:docGrid w:linePitch="360"/>
        </w:sectPr>
      </w:pPr>
    </w:p>
    <w:p w:rsidR="00323204" w:rsidRPr="00FA722E" w:rsidRDefault="00323204" w:rsidP="00323204">
      <w:pPr>
        <w:spacing w:line="259" w:lineRule="auto"/>
        <w:ind w:firstLine="0"/>
        <w:jc w:val="center"/>
        <w:rPr>
          <w:rFonts w:eastAsia="Calibri"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color w:val="000000"/>
          <w:kern w:val="3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Приложение </w:t>
      </w:r>
    </w:p>
    <w:p w:rsidR="00323204" w:rsidRPr="00FA722E" w:rsidRDefault="00323204" w:rsidP="00323204">
      <w:pPr>
        <w:spacing w:line="259" w:lineRule="auto"/>
        <w:ind w:firstLine="0"/>
        <w:jc w:val="right"/>
        <w:rPr>
          <w:rFonts w:eastAsia="Calibri"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color w:val="000000"/>
          <w:kern w:val="32"/>
          <w:sz w:val="24"/>
          <w:szCs w:val="24"/>
          <w:lang w:eastAsia="ru-RU"/>
        </w:rPr>
        <w:t xml:space="preserve">      к Программе «Управление государственным долгом </w:t>
      </w:r>
    </w:p>
    <w:p w:rsidR="00323204" w:rsidRPr="00FA722E" w:rsidRDefault="00323204" w:rsidP="00323204">
      <w:pPr>
        <w:spacing w:line="259" w:lineRule="auto"/>
        <w:ind w:firstLine="0"/>
        <w:jc w:val="center"/>
        <w:rPr>
          <w:rFonts w:eastAsia="Calibri"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color w:val="000000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в среднесрочной перспективе (2019-2021 годы)»</w:t>
      </w:r>
    </w:p>
    <w:p w:rsidR="00323204" w:rsidRDefault="00323204" w:rsidP="00323204">
      <w:pPr>
        <w:spacing w:line="259" w:lineRule="auto"/>
        <w:ind w:firstLine="0"/>
        <w:jc w:val="right"/>
        <w:rPr>
          <w:rFonts w:eastAsia="Calibri"/>
          <w:color w:val="000000"/>
          <w:kern w:val="32"/>
          <w:sz w:val="24"/>
          <w:szCs w:val="24"/>
          <w:lang w:eastAsia="ru-RU"/>
        </w:rPr>
      </w:pPr>
    </w:p>
    <w:p w:rsidR="00323204" w:rsidRPr="00FA722E" w:rsidRDefault="00323204" w:rsidP="00323204">
      <w:pPr>
        <w:spacing w:line="259" w:lineRule="auto"/>
        <w:ind w:firstLine="0"/>
        <w:jc w:val="right"/>
        <w:rPr>
          <w:rFonts w:eastAsia="Calibri"/>
          <w:color w:val="000000"/>
          <w:kern w:val="32"/>
          <w:sz w:val="24"/>
          <w:szCs w:val="24"/>
          <w:lang w:eastAsia="ru-RU"/>
        </w:rPr>
      </w:pPr>
    </w:p>
    <w:p w:rsidR="00323204" w:rsidRDefault="00323204" w:rsidP="00323204">
      <w:pPr>
        <w:spacing w:after="160" w:line="259" w:lineRule="auto"/>
        <w:ind w:firstLine="0"/>
        <w:jc w:val="center"/>
        <w:rPr>
          <w:rFonts w:eastAsia="Calibri"/>
          <w:b/>
          <w:color w:val="000000"/>
          <w:kern w:val="32"/>
          <w:sz w:val="24"/>
          <w:szCs w:val="24"/>
          <w:lang w:eastAsia="ru-RU"/>
        </w:rPr>
      </w:pPr>
      <w:r w:rsidRPr="00FA722E">
        <w:rPr>
          <w:rFonts w:eastAsia="Calibri"/>
          <w:b/>
          <w:color w:val="000000"/>
          <w:kern w:val="32"/>
          <w:sz w:val="24"/>
          <w:szCs w:val="24"/>
          <w:lang w:eastAsia="ru-RU"/>
        </w:rPr>
        <w:t>Риски, которые могут повлиять на внедрение управления государственным долгом в среднесрочной перспективе, воздействие и предложенные меры по их снижению</w:t>
      </w:r>
    </w:p>
    <w:p w:rsidR="00323204" w:rsidRPr="00FA722E" w:rsidRDefault="00323204" w:rsidP="00323204">
      <w:pPr>
        <w:spacing w:after="160" w:line="259" w:lineRule="auto"/>
        <w:ind w:firstLine="0"/>
        <w:jc w:val="center"/>
        <w:rPr>
          <w:rFonts w:eastAsia="Calibri"/>
          <w:b/>
          <w:color w:val="000000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2345"/>
        <w:gridCol w:w="4889"/>
      </w:tblGrid>
      <w:tr w:rsidR="00323204" w:rsidRPr="00FA722E" w:rsidTr="0084692D">
        <w:trPr>
          <w:tblHeader/>
        </w:trPr>
        <w:tc>
          <w:tcPr>
            <w:tcW w:w="1002" w:type="pct"/>
            <w:shd w:val="clear" w:color="auto" w:fill="auto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bCs/>
                <w:kern w:val="32"/>
                <w:sz w:val="24"/>
                <w:szCs w:val="24"/>
                <w:lang w:eastAsia="ru-RU"/>
              </w:rPr>
              <w:t>Потенциальный источник риска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bCs/>
                <w:kern w:val="32"/>
                <w:sz w:val="24"/>
                <w:szCs w:val="24"/>
                <w:lang w:eastAsia="ru-RU"/>
              </w:rPr>
              <w:t>Воздействие, если риск материализуется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bCs/>
                <w:kern w:val="32"/>
                <w:sz w:val="24"/>
                <w:szCs w:val="24"/>
                <w:lang w:eastAsia="ru-RU"/>
              </w:rPr>
              <w:t>Предложенные меры по снижению</w:t>
            </w:r>
          </w:p>
        </w:tc>
      </w:tr>
    </w:tbl>
    <w:p w:rsidR="00323204" w:rsidRPr="00FA722E" w:rsidRDefault="00323204" w:rsidP="0032320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197"/>
        <w:gridCol w:w="4741"/>
      </w:tblGrid>
      <w:tr w:rsidR="00323204" w:rsidRPr="00FA722E" w:rsidTr="0084692D">
        <w:trPr>
          <w:cantSplit/>
          <w:tblHeader/>
        </w:trPr>
        <w:tc>
          <w:tcPr>
            <w:tcW w:w="1002" w:type="pct"/>
            <w:shd w:val="clear" w:color="auto" w:fill="auto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/>
                <w:bCs/>
                <w:kern w:val="32"/>
                <w:sz w:val="24"/>
                <w:szCs w:val="24"/>
                <w:lang w:eastAsia="ru-RU"/>
              </w:rPr>
              <w:t>3</w:t>
            </w:r>
          </w:p>
        </w:tc>
      </w:tr>
      <w:tr w:rsidR="00323204" w:rsidRPr="00FA722E" w:rsidTr="0084692D">
        <w:tc>
          <w:tcPr>
            <w:tcW w:w="1002" w:type="pct"/>
            <w:shd w:val="clear" w:color="auto" w:fill="auto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 xml:space="preserve">1.Ограниченное кредитование на концессионных условиях  </w:t>
            </w:r>
          </w:p>
        </w:tc>
        <w:tc>
          <w:tcPr>
            <w:tcW w:w="1311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Сокращение поступлений от грантов;</w:t>
            </w: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повышение расходов на обслуживание государственного долга</w:t>
            </w:r>
          </w:p>
        </w:tc>
        <w:tc>
          <w:tcPr>
            <w:tcW w:w="2687" w:type="pct"/>
            <w:shd w:val="clear" w:color="auto" w:fill="auto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sz w:val="24"/>
                <w:szCs w:val="24"/>
                <w:lang w:eastAsia="ru-RU"/>
              </w:rPr>
              <w:t>-Преобразование местного финансового рынка в стабильный источник покрытия потребностей бюджета в финансировании;</w:t>
            </w: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sz w:val="24"/>
                <w:szCs w:val="24"/>
                <w:lang w:eastAsia="ru-RU"/>
              </w:rPr>
              <w:t>-диверсификация инструментов внутреннего государственного долга и повышение их привлекательности;</w:t>
            </w: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sz w:val="24"/>
                <w:szCs w:val="24"/>
                <w:lang w:eastAsia="ru-RU"/>
              </w:rPr>
              <w:t>-регулярный мониторинг показателей устойчивости государственного долга, с тем, чтобы их динамика соответствовала приемлемым рамкам в долгосрочной перспективе;</w:t>
            </w: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sz w:val="24"/>
                <w:szCs w:val="24"/>
                <w:lang w:eastAsia="ru-RU"/>
              </w:rPr>
              <w:t>-анализ финансовых условий новых полученных внешних займов на этапе ведения переговоров и принятие оптимального варианта срока погашения займа и процентной ставки, по каждому займу отдельно</w:t>
            </w:r>
          </w:p>
        </w:tc>
      </w:tr>
      <w:tr w:rsidR="00323204" w:rsidRPr="00FA722E" w:rsidTr="0084692D">
        <w:tc>
          <w:tcPr>
            <w:tcW w:w="1002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outlineLvl w:val="0"/>
              <w:rPr>
                <w:rFonts w:eastAsia="Calibri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lastRenderedPageBreak/>
              <w:t>2.Неопределенность касательно освоения средств от официальных кредиторов, с учетом зависимости страны от внешних партнеров по развитию</w:t>
            </w:r>
          </w:p>
        </w:tc>
        <w:tc>
          <w:tcPr>
            <w:tcW w:w="1311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outlineLvl w:val="0"/>
              <w:rPr>
                <w:rFonts w:eastAsia="Calibri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Невозможность финансирования первоначально прогнозированных в бюджете статей расходов</w:t>
            </w:r>
          </w:p>
        </w:tc>
        <w:tc>
          <w:tcPr>
            <w:tcW w:w="2687" w:type="pct"/>
            <w:shd w:val="clear" w:color="auto" w:fill="auto"/>
          </w:tcPr>
          <w:p w:rsidR="00323204" w:rsidRPr="00FA722E" w:rsidRDefault="00323204" w:rsidP="0084692D">
            <w:pPr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FA722E">
              <w:rPr>
                <w:sz w:val="24"/>
                <w:szCs w:val="24"/>
                <w:lang w:eastAsia="ru-RU"/>
              </w:rPr>
              <w:t>-Непрерывное взаимодействие между управлением долга и управлением ликвидности государственного бюджета;</w:t>
            </w:r>
          </w:p>
          <w:p w:rsidR="00323204" w:rsidRPr="00FA722E" w:rsidRDefault="00323204" w:rsidP="0084692D">
            <w:pPr>
              <w:keepNext/>
              <w:keepLines/>
              <w:ind w:firstLine="0"/>
              <w:contextualSpacing/>
              <w:outlineLvl w:val="2"/>
              <w:rPr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FA722E">
              <w:rPr>
                <w:sz w:val="24"/>
                <w:szCs w:val="24"/>
                <w:lang w:eastAsia="ru-RU"/>
              </w:rPr>
              <w:t>-продолжение внедрения программы МВФ через механизм расширенного кредитования (ECF) и механизм расширенного финансирования (EFF) для осуществления реформы в финансовой и экономической области;</w:t>
            </w:r>
          </w:p>
          <w:p w:rsidR="00323204" w:rsidRPr="00FA722E" w:rsidRDefault="00323204" w:rsidP="0084692D">
            <w:pPr>
              <w:ind w:firstLine="0"/>
              <w:contextualSpacing/>
              <w:rPr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FA722E">
              <w:rPr>
                <w:sz w:val="24"/>
                <w:szCs w:val="24"/>
                <w:lang w:eastAsia="ru-RU"/>
              </w:rPr>
              <w:t>-регулярный мониторинг регистрируемого хода внедрения действий и полученных показателей, включенных в матрицы политики, связанной с контрактами с внешними кредиторами.</w:t>
            </w:r>
          </w:p>
        </w:tc>
      </w:tr>
      <w:tr w:rsidR="00323204" w:rsidRPr="00FA722E" w:rsidTr="0084692D">
        <w:tc>
          <w:tcPr>
            <w:tcW w:w="1002" w:type="pct"/>
            <w:shd w:val="clear" w:color="auto" w:fill="auto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 xml:space="preserve">3. Неопределенность на мировом уровне в отношении влияния поведения денежной политики основных центральных банков мира (ВСЕ и </w:t>
            </w:r>
            <w:proofErr w:type="spellStart"/>
            <w:r w:rsidRPr="00FA722E">
              <w:rPr>
                <w:rFonts w:eastAsia="Calibri"/>
                <w:sz w:val="24"/>
                <w:szCs w:val="24"/>
                <w:lang w:eastAsia="ru-RU"/>
              </w:rPr>
              <w:t>Fed</w:t>
            </w:r>
            <w:proofErr w:type="spellEnd"/>
            <w:r w:rsidRPr="00FA722E">
              <w:rPr>
                <w:rFonts w:eastAsia="Calibri"/>
                <w:sz w:val="24"/>
                <w:szCs w:val="24"/>
                <w:lang w:eastAsia="ru-RU"/>
              </w:rPr>
              <w:t xml:space="preserve">), а также последствия </w:t>
            </w:r>
            <w:proofErr w:type="spellStart"/>
            <w:r w:rsidRPr="00FA722E">
              <w:rPr>
                <w:rFonts w:eastAsia="Calibri"/>
                <w:sz w:val="24"/>
                <w:szCs w:val="24"/>
                <w:lang w:eastAsia="ru-RU"/>
              </w:rPr>
              <w:t>Брексита</w:t>
            </w:r>
            <w:proofErr w:type="spellEnd"/>
          </w:p>
        </w:tc>
        <w:tc>
          <w:tcPr>
            <w:tcW w:w="1311" w:type="pct"/>
            <w:shd w:val="clear" w:color="auto" w:fill="auto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sz w:val="24"/>
                <w:szCs w:val="24"/>
                <w:lang w:eastAsia="ru-RU"/>
              </w:rPr>
              <w:t>Переменчивость касательно инвестиционного «аппетита» на финансовые активы, выпущенные странами с переходной экономикой;</w:t>
            </w: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sz w:val="24"/>
                <w:szCs w:val="24"/>
                <w:lang w:eastAsia="ru-RU"/>
              </w:rPr>
              <w:t>повышение процентных ставок на международном уровне;</w:t>
            </w: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sz w:val="24"/>
                <w:szCs w:val="24"/>
                <w:lang w:eastAsia="ru-RU"/>
              </w:rPr>
              <w:t>неопределенность касательно годового бюджетного усилия, необходимого для осуществления выплаты процентов</w:t>
            </w:r>
          </w:p>
        </w:tc>
        <w:tc>
          <w:tcPr>
            <w:tcW w:w="2687" w:type="pct"/>
            <w:vMerge w:val="restar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outlineLvl w:val="0"/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  <w:t>-Оценка остатка государственного долга и расходов на его обслуживание, с учетом самых пессимистичных сценариев, а именно: значительных колебаний указанных показателей;</w:t>
            </w:r>
          </w:p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outlineLvl w:val="0"/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outlineLvl w:val="0"/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  <w:t>-дальнейшее поддержание мажоритарной доли долга с фиксированной процентной ставкой в общем государственном долге с целью уменьшения неопределенности касательно бюджетных усилий, необходимых для осуществления выплаты процентов;</w:t>
            </w: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  <w:t>-регулярный мониторинг установленных параметров риска и выполнение необходимых действий для их приведения в соответствие с пределами, установленными в Программе;</w:t>
            </w: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  <w:t>-изменение структуры государственного внешнего долга посредством операций по преобразованию процентной ставки, с учетом соотношения стоимости и риска</w:t>
            </w: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323204" w:rsidRPr="00FA722E" w:rsidTr="0084692D">
        <w:tc>
          <w:tcPr>
            <w:tcW w:w="1002" w:type="pct"/>
            <w:shd w:val="clear" w:color="auto" w:fill="auto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4. Увеличение ставки инфляции и ужесточение денежной политики Национального банка Молдовы</w:t>
            </w:r>
          </w:p>
        </w:tc>
        <w:tc>
          <w:tcPr>
            <w:tcW w:w="1311" w:type="pct"/>
            <w:shd w:val="clear" w:color="auto" w:fill="auto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proofErr w:type="gramStart"/>
            <w:r w:rsidRPr="00FA722E"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  <w:t xml:space="preserve">Повышение Национальным банком Молдовы процентных ставок на основные операции денежной политики в </w:t>
            </w:r>
            <w:r w:rsidRPr="00FA722E"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  <w:lastRenderedPageBreak/>
              <w:t>краткосрочной перспективе одновременно влечет за собой увеличение ставок на выпущенные на рынке ГЦБ</w:t>
            </w:r>
            <w:proofErr w:type="gramEnd"/>
          </w:p>
        </w:tc>
        <w:tc>
          <w:tcPr>
            <w:tcW w:w="2687" w:type="pct"/>
            <w:vMerge/>
            <w:shd w:val="clear" w:color="auto" w:fill="auto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323204" w:rsidRPr="00FA722E" w:rsidTr="0084692D">
        <w:tc>
          <w:tcPr>
            <w:tcW w:w="1002" w:type="pct"/>
            <w:shd w:val="clear" w:color="auto" w:fill="auto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lastRenderedPageBreak/>
              <w:t>5.Падение официального обменного курса национальной валюты по сравнению с основными валютами, в которых выражен внешний государственный долг</w:t>
            </w:r>
          </w:p>
        </w:tc>
        <w:tc>
          <w:tcPr>
            <w:tcW w:w="1311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Увеличение остатка внешнего государственного долга, выраженного в национальной валюте;</w:t>
            </w: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Увеличение расходов на обслуживание внешнего государственного долга</w:t>
            </w:r>
          </w:p>
        </w:tc>
        <w:tc>
          <w:tcPr>
            <w:tcW w:w="2687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outlineLvl w:val="0"/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  <w:t>-Оценка остатка государственного долга и расходов на его обслуживание, с учетом самых пессимистичных сценариев, а именно: значительные колебания указанных показателей;</w:t>
            </w:r>
          </w:p>
          <w:p w:rsidR="00323204" w:rsidRPr="00FA722E" w:rsidRDefault="00323204" w:rsidP="0084692D">
            <w:pPr>
              <w:keepNext/>
              <w:keepLines/>
              <w:ind w:firstLine="0"/>
              <w:contextualSpacing/>
              <w:outlineLvl w:val="2"/>
              <w:rPr>
                <w:bCs/>
                <w:kern w:val="32"/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FA722E">
              <w:rPr>
                <w:sz w:val="24"/>
                <w:szCs w:val="24"/>
                <w:lang w:eastAsia="ru-RU"/>
              </w:rPr>
              <w:t>-увеличение доли чистого финансирования в национальной валюте, что облегчит уменьшение подверженности валютному риску, одновременно учитывая способность к абсорбции внутреннего рынка и, в целом, спрос на долговые инструменты в леях;</w:t>
            </w: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  <w:t>-изменение структуры внешнего государственного долга посредством операций по преобразованию процентной ставки, с учетом соотношения стоимости и риска;</w:t>
            </w:r>
          </w:p>
          <w:p w:rsidR="00323204" w:rsidRPr="00FA722E" w:rsidRDefault="00323204" w:rsidP="0084692D">
            <w:pPr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  <w:t>-регулярный мониторинг установленных параметров риска и выполнение необходимых действий для их приведения в соответствие с установленными Программой пределами  </w:t>
            </w:r>
          </w:p>
        </w:tc>
      </w:tr>
      <w:tr w:rsidR="00323204" w:rsidRPr="00FA722E" w:rsidTr="0084692D">
        <w:tc>
          <w:tcPr>
            <w:tcW w:w="1002" w:type="pct"/>
            <w:shd w:val="clear" w:color="auto" w:fill="auto"/>
          </w:tcPr>
          <w:p w:rsidR="00323204" w:rsidRPr="00FA722E" w:rsidRDefault="00323204" w:rsidP="0084692D">
            <w:pPr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FA722E">
              <w:rPr>
                <w:sz w:val="24"/>
                <w:szCs w:val="24"/>
                <w:lang w:eastAsia="ru-RU"/>
              </w:rPr>
              <w:t>6.Материализация условных обязательств (например, активация гарантии согласно Программе «Первый дом»)</w:t>
            </w: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auto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  <w:t>Дополнительное давление на государственный бюджет;</w:t>
            </w: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  <w:t>увеличение объема внутреннего государственного долга и расходов на его обслуживание</w:t>
            </w:r>
          </w:p>
        </w:tc>
        <w:tc>
          <w:tcPr>
            <w:tcW w:w="2687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outlineLvl w:val="0"/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  <w:t xml:space="preserve">-Ограничение расширения государственной гарантии только на проекты, представляющие особую важность для национальной экономики (согласно статье 33 Закона №419/2006 о долге публичного сектора, государственных гарантиях и государственном </w:t>
            </w:r>
            <w:proofErr w:type="spellStart"/>
            <w:r w:rsidRPr="00FA722E"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  <w:t>рекредитовании</w:t>
            </w:r>
            <w:proofErr w:type="spellEnd"/>
            <w:r w:rsidRPr="00FA722E"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  <w:t>);</w:t>
            </w:r>
          </w:p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outlineLvl w:val="0"/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outlineLvl w:val="0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  <w:t>-установление в годовом законе о государственном бюджете предела остатка государственных гарантий, который не может быть превышен в течение соответствующего года, и ежемесячный мониторинг остатка государственных гарантий с целью соответствия установленным пределам</w:t>
            </w:r>
          </w:p>
        </w:tc>
      </w:tr>
      <w:tr w:rsidR="00323204" w:rsidRPr="00FA722E" w:rsidTr="0084692D">
        <w:tc>
          <w:tcPr>
            <w:tcW w:w="1002" w:type="pct"/>
            <w:shd w:val="clear" w:color="auto" w:fill="auto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 xml:space="preserve">7.Уменьшение доверия со стороны инвесторов к </w:t>
            </w:r>
            <w:r w:rsidRPr="00FA722E">
              <w:rPr>
                <w:rFonts w:eastAsia="Calibri"/>
                <w:sz w:val="24"/>
                <w:szCs w:val="24"/>
                <w:lang w:eastAsia="ru-RU"/>
              </w:rPr>
              <w:lastRenderedPageBreak/>
              <w:t>финансовому инструменту «государственные ценные бумаги», как на национальном, так и на международном уровне</w:t>
            </w:r>
          </w:p>
        </w:tc>
        <w:tc>
          <w:tcPr>
            <w:tcW w:w="1311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  <w:lastRenderedPageBreak/>
              <w:t xml:space="preserve">Уменьшение инвестиционного «аппетита» на </w:t>
            </w:r>
            <w:r w:rsidRPr="00FA722E"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  <w:lastRenderedPageBreak/>
              <w:t>инструмент ГЦБ в национальной валюте;</w:t>
            </w: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  <w:t xml:space="preserve">невозможность финансирование остатка (дефицита) государственного бюджета из источников, существующих на местном рынке; </w:t>
            </w: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>предпочтение инвесторами ГЦБ с коротким сроком обращения</w:t>
            </w:r>
          </w:p>
        </w:tc>
        <w:tc>
          <w:tcPr>
            <w:tcW w:w="2687" w:type="pct"/>
            <w:shd w:val="clear" w:color="auto" w:fill="auto"/>
          </w:tcPr>
          <w:p w:rsidR="00323204" w:rsidRPr="00FA722E" w:rsidRDefault="00323204" w:rsidP="0084692D">
            <w:pPr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FA722E">
              <w:rPr>
                <w:sz w:val="24"/>
                <w:szCs w:val="24"/>
                <w:lang w:eastAsia="ru-RU"/>
              </w:rPr>
              <w:lastRenderedPageBreak/>
              <w:t xml:space="preserve">-Облегчение доступа международных инвесторов к инструменту ГЦБ в национальной валюте посредством </w:t>
            </w:r>
            <w:r w:rsidRPr="00FA722E">
              <w:rPr>
                <w:sz w:val="24"/>
                <w:szCs w:val="24"/>
                <w:lang w:eastAsia="ru-RU"/>
              </w:rPr>
              <w:lastRenderedPageBreak/>
              <w:t>Единого центрального депозитария;</w:t>
            </w:r>
          </w:p>
          <w:p w:rsidR="00323204" w:rsidRPr="00FA722E" w:rsidRDefault="00323204" w:rsidP="0084692D">
            <w:pPr>
              <w:keepNext/>
              <w:keepLines/>
              <w:ind w:firstLine="0"/>
              <w:contextualSpacing/>
              <w:outlineLvl w:val="2"/>
              <w:rPr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keepNext/>
              <w:keepLines/>
              <w:ind w:firstLine="0"/>
              <w:contextualSpacing/>
              <w:outlineLvl w:val="2"/>
              <w:rPr>
                <w:sz w:val="24"/>
                <w:szCs w:val="24"/>
                <w:lang w:eastAsia="ru-RU"/>
              </w:rPr>
            </w:pPr>
            <w:r w:rsidRPr="00FA722E">
              <w:rPr>
                <w:sz w:val="24"/>
                <w:szCs w:val="24"/>
                <w:lang w:eastAsia="ru-RU"/>
              </w:rPr>
              <w:t>-улучшение коммуникации с участниками рынка ГЦБ для регулярной оценки инвестиционных потребностей на уровне рынка, ожиданий касательно рыночных условий, а также действий, принятых во внимание Министерством финансов;</w:t>
            </w:r>
          </w:p>
          <w:p w:rsidR="00323204" w:rsidRPr="00FA722E" w:rsidRDefault="00323204" w:rsidP="0084692D">
            <w:pPr>
              <w:keepNext/>
              <w:keepLines/>
              <w:ind w:firstLine="0"/>
              <w:contextualSpacing/>
              <w:outlineLvl w:val="2"/>
              <w:rPr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keepNext/>
              <w:keepLines/>
              <w:ind w:firstLine="0"/>
              <w:contextualSpacing/>
              <w:outlineLvl w:val="2"/>
              <w:rPr>
                <w:sz w:val="24"/>
                <w:szCs w:val="24"/>
                <w:lang w:eastAsia="ru-RU"/>
              </w:rPr>
            </w:pPr>
            <w:r w:rsidRPr="00FA722E">
              <w:rPr>
                <w:sz w:val="24"/>
                <w:szCs w:val="24"/>
                <w:lang w:eastAsia="ru-RU"/>
              </w:rPr>
              <w:t xml:space="preserve">-постоянный мониторинг деятельности первичных дилеров как </w:t>
            </w:r>
            <w:proofErr w:type="spellStart"/>
            <w:r w:rsidRPr="00FA722E">
              <w:rPr>
                <w:sz w:val="24"/>
                <w:szCs w:val="24"/>
                <w:lang w:eastAsia="ru-RU"/>
              </w:rPr>
              <w:t>маркет-мейкеров</w:t>
            </w:r>
            <w:proofErr w:type="spellEnd"/>
            <w:r w:rsidRPr="00FA722E">
              <w:rPr>
                <w:sz w:val="24"/>
                <w:szCs w:val="24"/>
                <w:lang w:eastAsia="ru-RU"/>
              </w:rPr>
              <w:t xml:space="preserve"> и осуществление квартальных оценок их деятельности на первичном и вторичном рынке;</w:t>
            </w:r>
          </w:p>
          <w:p w:rsidR="00323204" w:rsidRPr="00FA722E" w:rsidRDefault="00323204" w:rsidP="0084692D">
            <w:pPr>
              <w:shd w:val="clear" w:color="auto" w:fill="FFFFFF"/>
              <w:ind w:firstLine="0"/>
              <w:contextualSpacing/>
              <w:rPr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shd w:val="clear" w:color="auto" w:fill="FFFFFF"/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FA722E">
              <w:rPr>
                <w:sz w:val="24"/>
                <w:szCs w:val="24"/>
                <w:lang w:eastAsia="ru-RU"/>
              </w:rPr>
              <w:t>-проведение кампаний по продвижению ГЦБ, в том числе ознакомление физических лиц с возможностью инвестирования в государственные ценные бумаги как в инструмент сбережения;</w:t>
            </w:r>
          </w:p>
          <w:p w:rsidR="00323204" w:rsidRPr="00FA722E" w:rsidRDefault="00323204" w:rsidP="0084692D">
            <w:pPr>
              <w:shd w:val="clear" w:color="auto" w:fill="FFFFFF"/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FA722E">
              <w:rPr>
                <w:sz w:val="24"/>
                <w:szCs w:val="24"/>
                <w:lang w:eastAsia="ru-RU"/>
              </w:rPr>
              <w:t xml:space="preserve">-разработка, развитие и обслуживание платформы торговли ГЦБ (например, </w:t>
            </w:r>
            <w:proofErr w:type="spellStart"/>
            <w:r w:rsidRPr="00FA722E">
              <w:rPr>
                <w:i/>
                <w:sz w:val="24"/>
                <w:szCs w:val="24"/>
                <w:lang w:eastAsia="ru-RU"/>
              </w:rPr>
              <w:t>Treasury</w:t>
            </w:r>
            <w:proofErr w:type="spellEnd"/>
            <w:r w:rsidRPr="00FA722E">
              <w:rPr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22E">
              <w:rPr>
                <w:i/>
                <w:sz w:val="24"/>
                <w:szCs w:val="24"/>
                <w:lang w:eastAsia="ru-RU"/>
              </w:rPr>
              <w:t>Direct</w:t>
            </w:r>
            <w:proofErr w:type="spellEnd"/>
            <w:r w:rsidRPr="00FA722E">
              <w:rPr>
                <w:sz w:val="24"/>
                <w:szCs w:val="24"/>
                <w:lang w:eastAsia="ru-RU"/>
              </w:rPr>
              <w:t>), с целью повышения доступа физических лиц и диверсификации каналов продажи государственных ценных бумаг;</w:t>
            </w:r>
          </w:p>
          <w:p w:rsidR="00323204" w:rsidRPr="00FA722E" w:rsidRDefault="00323204" w:rsidP="0084692D">
            <w:pPr>
              <w:shd w:val="clear" w:color="auto" w:fill="FFFFFF"/>
              <w:ind w:firstLine="0"/>
              <w:contextualSpacing/>
              <w:rPr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shd w:val="clear" w:color="auto" w:fill="FFFFFF"/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FA722E">
              <w:rPr>
                <w:sz w:val="24"/>
                <w:szCs w:val="24"/>
                <w:lang w:eastAsia="ru-RU"/>
              </w:rPr>
              <w:t>-построение и укрепление кривой доходности ГЦБ, что способствовало бы развитию местного финансового рынка;</w:t>
            </w:r>
          </w:p>
          <w:p w:rsidR="00323204" w:rsidRPr="00FA722E" w:rsidRDefault="00323204" w:rsidP="0084692D">
            <w:pPr>
              <w:shd w:val="clear" w:color="auto" w:fill="FFFFFF"/>
              <w:ind w:firstLine="0"/>
              <w:contextualSpacing/>
              <w:rPr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shd w:val="clear" w:color="auto" w:fill="FFFFFF"/>
              <w:ind w:firstLine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FA722E">
              <w:rPr>
                <w:sz w:val="24"/>
                <w:szCs w:val="24"/>
                <w:lang w:eastAsia="ru-RU"/>
              </w:rPr>
              <w:t xml:space="preserve">-регулярное опубликование на официальной веб-странице Министерства финансов </w:t>
            </w:r>
            <w:hyperlink r:id="rId19" w:history="1">
              <w:r w:rsidRPr="00FA722E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www.mf.gov.md</w:t>
              </w:r>
            </w:hyperlink>
            <w:r w:rsidRPr="00FA722E">
              <w:rPr>
                <w:sz w:val="24"/>
                <w:szCs w:val="24"/>
                <w:lang w:eastAsia="ru-RU"/>
              </w:rPr>
              <w:t xml:space="preserve"> релевантной информации для инвесторов относительно объема и структуры долга в публичном секторе, а также информации касательно торговли государственными ценными бумагами: календарь и сообщения о размещении, повторное открытие определенных сроков погашения, результаты аукционов, информация о процентной ставке проданных  ГЦБ, сведения об операциях на вторичном рынке и т.д.;</w:t>
            </w:r>
            <w:r w:rsidRPr="00FA722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323204" w:rsidRPr="00FA722E" w:rsidRDefault="00323204" w:rsidP="0084692D">
            <w:pPr>
              <w:shd w:val="clear" w:color="auto" w:fill="FFFFFF"/>
              <w:ind w:firstLine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t xml:space="preserve">-инициирование процедуры проведения международного аукциона с целью заключения договора о сотрудничестве с ещё одним рейтинговым агентством, </w:t>
            </w:r>
            <w:r w:rsidRPr="00FA722E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помимо уже существующего договора с </w:t>
            </w:r>
            <w:proofErr w:type="spellStart"/>
            <w:r w:rsidRPr="00FA722E">
              <w:rPr>
                <w:rFonts w:eastAsia="Calibri"/>
                <w:sz w:val="24"/>
                <w:szCs w:val="24"/>
                <w:lang w:eastAsia="ru-RU"/>
              </w:rPr>
              <w:t>Moody’s</w:t>
            </w:r>
            <w:proofErr w:type="spellEnd"/>
            <w:r w:rsidRPr="00FA722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22E">
              <w:rPr>
                <w:rFonts w:eastAsia="Calibri"/>
                <w:sz w:val="24"/>
                <w:szCs w:val="24"/>
                <w:lang w:eastAsia="ru-RU"/>
              </w:rPr>
              <w:t>Investor</w:t>
            </w:r>
            <w:proofErr w:type="spellEnd"/>
            <w:r w:rsidRPr="00FA722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22E">
              <w:rPr>
                <w:rFonts w:eastAsia="Calibri"/>
                <w:sz w:val="24"/>
                <w:szCs w:val="24"/>
                <w:lang w:eastAsia="ru-RU"/>
              </w:rPr>
              <w:t>Service</w:t>
            </w:r>
            <w:proofErr w:type="spellEnd"/>
            <w:r w:rsidRPr="00FA722E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</w:tc>
      </w:tr>
      <w:tr w:rsidR="00323204" w:rsidRPr="00FA722E" w:rsidTr="0084692D">
        <w:trPr>
          <w:trHeight w:val="589"/>
        </w:trPr>
        <w:tc>
          <w:tcPr>
            <w:tcW w:w="1002" w:type="pct"/>
            <w:shd w:val="clear" w:color="auto" w:fill="auto"/>
          </w:tcPr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sz w:val="24"/>
                <w:szCs w:val="24"/>
                <w:lang w:eastAsia="ru-RU"/>
              </w:rPr>
              <w:lastRenderedPageBreak/>
              <w:t>8.Операционный риск</w:t>
            </w:r>
          </w:p>
        </w:tc>
        <w:tc>
          <w:tcPr>
            <w:tcW w:w="1311" w:type="pct"/>
            <w:shd w:val="clear" w:color="auto" w:fill="auto"/>
          </w:tcPr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  <w:t>Неправильные данные относительно статистики в области долга</w:t>
            </w:r>
          </w:p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jc w:val="center"/>
              <w:outlineLvl w:val="0"/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kern w:val="32"/>
                <w:sz w:val="24"/>
                <w:szCs w:val="24"/>
                <w:lang w:eastAsia="ru-RU"/>
              </w:rPr>
              <w:t>технические неисправности информационных систем</w:t>
            </w:r>
          </w:p>
        </w:tc>
        <w:tc>
          <w:tcPr>
            <w:tcW w:w="2687" w:type="pct"/>
            <w:shd w:val="clear" w:color="auto" w:fill="auto"/>
          </w:tcPr>
          <w:p w:rsidR="00323204" w:rsidRPr="00FA722E" w:rsidRDefault="00323204" w:rsidP="008469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A722E">
              <w:rPr>
                <w:rFonts w:eastAsia="Calibri"/>
                <w:bCs/>
                <w:sz w:val="24"/>
                <w:szCs w:val="24"/>
                <w:lang w:eastAsia="ru-RU"/>
              </w:rPr>
              <w:t xml:space="preserve">-Готовность всех </w:t>
            </w:r>
            <w:proofErr w:type="gramStart"/>
            <w:r w:rsidRPr="00FA722E">
              <w:rPr>
                <w:rFonts w:eastAsia="Calibri"/>
                <w:bCs/>
                <w:sz w:val="24"/>
                <w:szCs w:val="24"/>
                <w:lang w:eastAsia="ru-RU"/>
              </w:rPr>
              <w:t>сотрудников Управления публичного долга Министерства финансов</w:t>
            </w:r>
            <w:proofErr w:type="gramEnd"/>
            <w:r w:rsidRPr="00FA722E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к ответным реакциям,</w:t>
            </w: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 xml:space="preserve"> определенным и установленным в Плане управления операционным риском и обеспечению непрерывности деятельности по управлению государственным долгом на 2018 год;</w:t>
            </w:r>
            <w:r w:rsidRPr="00FA722E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23204" w:rsidRPr="00FA722E" w:rsidRDefault="00323204" w:rsidP="0084692D">
            <w:pPr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sz w:val="24"/>
                <w:szCs w:val="24"/>
                <w:lang w:eastAsia="ru-RU"/>
              </w:rPr>
              <w:t>-пересмотр вышеуказанного документа на период 2019 года, параллельно с актуализацией Плана действия Управления публичного долга;</w:t>
            </w:r>
          </w:p>
          <w:p w:rsidR="00323204" w:rsidRPr="00FA722E" w:rsidRDefault="00323204" w:rsidP="0084692D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 xml:space="preserve">-использование возможностей обновленной версии информационной системы управления долгом DMFAS 6.1, для периодической </w:t>
            </w:r>
            <w:proofErr w:type="spellStart"/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 xml:space="preserve"> базы данных;</w:t>
            </w:r>
          </w:p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-дальнейшая разработка и руководство деятельностью согласно Регистру рисков, связанных с достижением целей, с четким установлением контрольных действий, необходимых для эффективного управления рисками, связанными с областью долга;</w:t>
            </w:r>
          </w:p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outlineLvl w:val="0"/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keepNext/>
              <w:tabs>
                <w:tab w:val="left" w:pos="567"/>
              </w:tabs>
              <w:ind w:firstLine="0"/>
              <w:outlineLvl w:val="0"/>
              <w:rPr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color w:val="000000"/>
                <w:kern w:val="32"/>
                <w:sz w:val="24"/>
                <w:szCs w:val="24"/>
                <w:lang w:eastAsia="ru-RU"/>
              </w:rPr>
              <w:t>-непрерывное совершенствование возможностей персонала посредством его участия во внутреннем и внешнем обучении;</w:t>
            </w: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323204" w:rsidRPr="00FA722E" w:rsidRDefault="00323204" w:rsidP="0084692D">
            <w:pPr>
              <w:tabs>
                <w:tab w:val="left" w:pos="567"/>
              </w:tabs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FA722E">
              <w:rPr>
                <w:rFonts w:eastAsia="Calibri"/>
                <w:bCs/>
                <w:sz w:val="24"/>
                <w:szCs w:val="24"/>
                <w:lang w:eastAsia="ru-RU"/>
              </w:rPr>
              <w:t>-исследование новых возможностей технической поддержки в области управления долгом</w:t>
            </w:r>
          </w:p>
        </w:tc>
      </w:tr>
    </w:tbl>
    <w:p w:rsidR="00323204" w:rsidRDefault="00323204"/>
    <w:sectPr w:rsidR="00323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FA" w:rsidRDefault="00C40DFA" w:rsidP="00323204">
      <w:r>
        <w:separator/>
      </w:r>
    </w:p>
  </w:endnote>
  <w:endnote w:type="continuationSeparator" w:id="0">
    <w:p w:rsidR="00C40DFA" w:rsidRDefault="00C40DFA" w:rsidP="0032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04" w:rsidRDefault="003232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BC" w:rsidRPr="008A52B4" w:rsidRDefault="00C40DFA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BC" w:rsidRPr="00DB274E" w:rsidRDefault="00BA6313" w:rsidP="004B6DFE">
    <w:pPr>
      <w:pStyle w:val="Footer"/>
      <w:ind w:firstLine="0"/>
      <w:rPr>
        <w:sz w:val="16"/>
        <w:szCs w:val="16"/>
        <w:lang w:val="en-US"/>
      </w:rPr>
    </w:pPr>
    <w:r w:rsidRPr="00DB274E">
      <w:rPr>
        <w:sz w:val="16"/>
        <w:szCs w:val="16"/>
      </w:rPr>
      <w:fldChar w:fldCharType="begin"/>
    </w:r>
    <w:r w:rsidRPr="00DB274E">
      <w:rPr>
        <w:sz w:val="16"/>
        <w:szCs w:val="16"/>
        <w:lang w:val="en-US"/>
      </w:rPr>
      <w:instrText xml:space="preserve"> FILENAME  \p  \* MERGEFORMAT </w:instrText>
    </w:r>
    <w:r w:rsidRPr="00DB274E">
      <w:rPr>
        <w:sz w:val="16"/>
        <w:szCs w:val="16"/>
      </w:rPr>
      <w:fldChar w:fldCharType="separate"/>
    </w:r>
    <w:r w:rsidRPr="00DB274E">
      <w:rPr>
        <w:noProof/>
        <w:sz w:val="16"/>
        <w:szCs w:val="16"/>
        <w:lang w:val="en-US"/>
      </w:rPr>
      <w:t>D:\DIANA\blanchete\Bl_hot-rus.docx</w:t>
    </w:r>
    <w:r w:rsidRPr="00DB274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FA" w:rsidRDefault="00C40DFA" w:rsidP="00323204">
      <w:r>
        <w:separator/>
      </w:r>
    </w:p>
  </w:footnote>
  <w:footnote w:type="continuationSeparator" w:id="0">
    <w:p w:rsidR="00C40DFA" w:rsidRDefault="00C40DFA" w:rsidP="00323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04" w:rsidRDefault="003232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BC" w:rsidRDefault="00C40DFA" w:rsidP="003B0C7F">
    <w:pPr>
      <w:pStyle w:val="Header"/>
      <w:ind w:firstLine="0"/>
      <w:jc w:val="center"/>
    </w:pPr>
  </w:p>
  <w:p w:rsidR="00E650BC" w:rsidRDefault="00C40D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BC" w:rsidRPr="009F2C8D" w:rsidRDefault="00BA6313" w:rsidP="009F2C8D">
    <w:pPr>
      <w:pStyle w:val="Header"/>
      <w:ind w:left="7080"/>
      <w:rPr>
        <w:sz w:val="24"/>
        <w:szCs w:val="24"/>
      </w:rPr>
    </w:pPr>
    <w:bookmarkStart w:id="0" w:name="_GoBack"/>
    <w:bookmarkEnd w:id="0"/>
    <w:r w:rsidRPr="009F2C8D">
      <w:rPr>
        <w:sz w:val="24"/>
        <w:szCs w:val="24"/>
      </w:rPr>
      <w:tab/>
    </w:r>
  </w:p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1835"/>
      <w:gridCol w:w="3693"/>
    </w:tblGrid>
    <w:tr w:rsidR="00E650BC" w:rsidRPr="00E21E67" w:rsidTr="00323204"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E650BC" w:rsidRPr="00E21E67" w:rsidRDefault="00C40DFA" w:rsidP="00F87405">
          <w:pPr>
            <w:rPr>
              <w:sz w:val="28"/>
              <w:szCs w:val="28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:rsidR="00E650BC" w:rsidRPr="00E21E67" w:rsidRDefault="00C40DFA" w:rsidP="00F87405">
          <w:pPr>
            <w:ind w:hanging="28"/>
            <w:jc w:val="center"/>
            <w:rPr>
              <w:b/>
              <w:sz w:val="28"/>
              <w:szCs w:val="28"/>
            </w:rPr>
          </w:pPr>
        </w:p>
      </w:tc>
      <w:tc>
        <w:tcPr>
          <w:tcW w:w="3693" w:type="dxa"/>
          <w:tcBorders>
            <w:top w:val="nil"/>
            <w:left w:val="nil"/>
            <w:bottom w:val="nil"/>
            <w:right w:val="nil"/>
          </w:tcBorders>
        </w:tcPr>
        <w:p w:rsidR="00E650BC" w:rsidRPr="00E21E67" w:rsidRDefault="00C40DFA" w:rsidP="00F87405">
          <w:pPr>
            <w:rPr>
              <w:sz w:val="28"/>
              <w:szCs w:val="28"/>
            </w:rPr>
          </w:pPr>
        </w:p>
      </w:tc>
    </w:tr>
    <w:tr w:rsidR="00E650BC" w:rsidRPr="00E21E67" w:rsidTr="00F87405">
      <w:trPr>
        <w:cantSplit/>
        <w:jc w:val="center"/>
      </w:trPr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650BC" w:rsidRPr="00E21E67" w:rsidRDefault="00C40DFA" w:rsidP="00F87405">
          <w:pPr>
            <w:ind w:firstLine="0"/>
            <w:jc w:val="center"/>
            <w:rPr>
              <w:b/>
              <w:sz w:val="28"/>
              <w:szCs w:val="28"/>
            </w:rPr>
          </w:pPr>
        </w:p>
      </w:tc>
    </w:tr>
  </w:tbl>
  <w:p w:rsidR="00E650BC" w:rsidRPr="009F2C8D" w:rsidRDefault="00C40DFA" w:rsidP="009F2C8D">
    <w:pPr>
      <w:pStyle w:val="Header"/>
      <w:ind w:left="708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B66A66"/>
    <w:multiLevelType w:val="hybridMultilevel"/>
    <w:tmpl w:val="C08A285C"/>
    <w:lvl w:ilvl="0" w:tplc="75C45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4E2"/>
    <w:multiLevelType w:val="hybridMultilevel"/>
    <w:tmpl w:val="60C257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2950"/>
    <w:multiLevelType w:val="hybridMultilevel"/>
    <w:tmpl w:val="4918A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26D2A"/>
    <w:multiLevelType w:val="hybridMultilevel"/>
    <w:tmpl w:val="5300B60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D04100"/>
    <w:multiLevelType w:val="hybridMultilevel"/>
    <w:tmpl w:val="AE440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02FA3"/>
    <w:multiLevelType w:val="hybridMultilevel"/>
    <w:tmpl w:val="F43E89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B3895"/>
    <w:multiLevelType w:val="hybridMultilevel"/>
    <w:tmpl w:val="F5D80B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7139A"/>
    <w:multiLevelType w:val="hybridMultilevel"/>
    <w:tmpl w:val="F59864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91277"/>
    <w:multiLevelType w:val="hybridMultilevel"/>
    <w:tmpl w:val="C6AE81D4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A1D7805"/>
    <w:multiLevelType w:val="hybridMultilevel"/>
    <w:tmpl w:val="A9361BB2"/>
    <w:lvl w:ilvl="0" w:tplc="044055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C6F7B34"/>
    <w:multiLevelType w:val="hybridMultilevel"/>
    <w:tmpl w:val="9D347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E56DF"/>
    <w:multiLevelType w:val="hybridMultilevel"/>
    <w:tmpl w:val="FF16926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1A55E76"/>
    <w:multiLevelType w:val="hybridMultilevel"/>
    <w:tmpl w:val="61B4C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2380C"/>
    <w:multiLevelType w:val="hybridMultilevel"/>
    <w:tmpl w:val="6BC608D2"/>
    <w:lvl w:ilvl="0" w:tplc="B3D47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0366A1"/>
    <w:multiLevelType w:val="hybridMultilevel"/>
    <w:tmpl w:val="FA900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004D1"/>
    <w:multiLevelType w:val="hybridMultilevel"/>
    <w:tmpl w:val="BC22DD82"/>
    <w:lvl w:ilvl="0" w:tplc="98F807E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581204"/>
    <w:multiLevelType w:val="hybridMultilevel"/>
    <w:tmpl w:val="1F2C4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7"/>
  </w:num>
  <w:num w:numId="5">
    <w:abstractNumId w:val="14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16"/>
  </w:num>
  <w:num w:numId="12">
    <w:abstractNumId w:val="12"/>
  </w:num>
  <w:num w:numId="13">
    <w:abstractNumId w:val="17"/>
  </w:num>
  <w:num w:numId="14">
    <w:abstractNumId w:val="4"/>
  </w:num>
  <w:num w:numId="15">
    <w:abstractNumId w:val="3"/>
  </w:num>
  <w:num w:numId="16">
    <w:abstractNumId w:val="5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04"/>
    <w:rsid w:val="00323204"/>
    <w:rsid w:val="00BA6313"/>
    <w:rsid w:val="00C40DFA"/>
    <w:rsid w:val="00C6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204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20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323204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323204"/>
    <w:pPr>
      <w:keepNext/>
      <w:jc w:val="center"/>
      <w:outlineLvl w:val="4"/>
    </w:pPr>
    <w:rPr>
      <w:rFonts w:ascii="$Caslon" w:hAnsi="$Caslon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23204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23204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323204"/>
    <w:pPr>
      <w:keepNext/>
      <w:jc w:val="center"/>
      <w:outlineLvl w:val="7"/>
    </w:pPr>
    <w:rPr>
      <w:rFonts w:ascii="$Caslon" w:hAnsi="$Caslon"/>
      <w:b/>
      <w:lang w:val="en-US" w:eastAsia="x-none"/>
    </w:rPr>
  </w:style>
  <w:style w:type="paragraph" w:styleId="Heading9">
    <w:name w:val="heading 9"/>
    <w:basedOn w:val="Normal"/>
    <w:next w:val="Normal"/>
    <w:link w:val="Heading9Char"/>
    <w:qFormat/>
    <w:rsid w:val="00323204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204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323204"/>
    <w:rPr>
      <w:rFonts w:ascii="Cambria" w:eastAsia="Times New Roman" w:hAnsi="Cambria" w:cs="Times New Roman"/>
      <w:b/>
      <w:bCs/>
      <w:color w:val="4F81BD"/>
      <w:sz w:val="26"/>
      <w:szCs w:val="26"/>
      <w:lang w:val="ru-RU" w:eastAsia="x-none"/>
    </w:rPr>
  </w:style>
  <w:style w:type="character" w:customStyle="1" w:styleId="Heading3Char">
    <w:name w:val="Heading 3 Char"/>
    <w:basedOn w:val="DefaultParagraphFont"/>
    <w:link w:val="Heading3"/>
    <w:rsid w:val="00323204"/>
    <w:rPr>
      <w:rFonts w:ascii="Cambria" w:eastAsia="Times New Roman" w:hAnsi="Cambria" w:cs="Times New Roman"/>
      <w:b/>
      <w:bCs/>
      <w:color w:val="4F81BD"/>
      <w:sz w:val="20"/>
      <w:szCs w:val="20"/>
      <w:lang w:val="en-US" w:eastAsia="x-none"/>
    </w:rPr>
  </w:style>
  <w:style w:type="character" w:customStyle="1" w:styleId="Heading5Char">
    <w:name w:val="Heading 5 Char"/>
    <w:basedOn w:val="DefaultParagraphFont"/>
    <w:link w:val="Heading5"/>
    <w:rsid w:val="00323204"/>
    <w:rPr>
      <w:rFonts w:ascii="$Caslon" w:eastAsia="Times New Roman" w:hAnsi="$Caslon" w:cs="Times New Roman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323204"/>
    <w:rPr>
      <w:rFonts w:ascii="Bookman Old Style" w:eastAsia="Times New Roman" w:hAnsi="Bookman Old Style" w:cs="Times New Roman"/>
      <w:b/>
      <w:bCs/>
      <w:szCs w:val="20"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323204"/>
    <w:rPr>
      <w:rFonts w:ascii="Bookman Old Style" w:eastAsia="Times New Roman" w:hAnsi="Bookman Old Style" w:cs="Times New Roman"/>
      <w:sz w:val="20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323204"/>
    <w:rPr>
      <w:rFonts w:ascii="$Caslon" w:eastAsia="Times New Roman" w:hAnsi="$Caslon" w:cs="Times New Roman"/>
      <w:b/>
      <w:sz w:val="20"/>
      <w:szCs w:val="20"/>
      <w:lang w:val="en-US" w:eastAsia="x-none"/>
    </w:rPr>
  </w:style>
  <w:style w:type="character" w:customStyle="1" w:styleId="Heading9Char">
    <w:name w:val="Heading 9 Char"/>
    <w:basedOn w:val="DefaultParagraphFont"/>
    <w:link w:val="Heading9"/>
    <w:rsid w:val="00323204"/>
    <w:rPr>
      <w:rFonts w:ascii="Arial" w:eastAsia="Times New Roman" w:hAnsi="Arial" w:cs="Times New Roman"/>
      <w:szCs w:val="20"/>
      <w:lang w:val="ru-RU" w:eastAsia="ar-SA"/>
    </w:rPr>
  </w:style>
  <w:style w:type="paragraph" w:styleId="ListParagraph">
    <w:name w:val="List Paragraph"/>
    <w:basedOn w:val="Normal"/>
    <w:uiPriority w:val="34"/>
    <w:qFormat/>
    <w:rsid w:val="0032320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news">
    <w:name w:val="news"/>
    <w:basedOn w:val="Normal"/>
    <w:rsid w:val="00323204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2320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23204"/>
    <w:rPr>
      <w:rFonts w:ascii="Times New Roman" w:eastAsia="Times New Roman" w:hAnsi="Times New Roman" w:cs="Times New Roman"/>
      <w:sz w:val="20"/>
      <w:szCs w:val="20"/>
      <w:lang w:val="ru-RU" w:eastAsia="x-none"/>
    </w:rPr>
  </w:style>
  <w:style w:type="paragraph" w:styleId="Footer">
    <w:name w:val="footer"/>
    <w:basedOn w:val="Normal"/>
    <w:link w:val="FooterChar"/>
    <w:uiPriority w:val="99"/>
    <w:unhideWhenUsed/>
    <w:rsid w:val="0032320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23204"/>
    <w:rPr>
      <w:rFonts w:ascii="Times New Roman" w:eastAsia="Times New Roman" w:hAnsi="Times New Roman" w:cs="Times New Roman"/>
      <w:sz w:val="20"/>
      <w:szCs w:val="20"/>
      <w:lang w:val="ru-RU" w:eastAsia="x-none"/>
    </w:rPr>
  </w:style>
  <w:style w:type="paragraph" w:styleId="NormalWeb">
    <w:name w:val="Normal (Web)"/>
    <w:basedOn w:val="Normal"/>
    <w:link w:val="NormalWebChar1"/>
    <w:unhideWhenUsed/>
    <w:rsid w:val="00323204"/>
    <w:pPr>
      <w:ind w:firstLine="567"/>
    </w:pPr>
    <w:rPr>
      <w:szCs w:val="24"/>
      <w:lang w:eastAsia="ru-RU"/>
    </w:rPr>
  </w:style>
  <w:style w:type="character" w:customStyle="1" w:styleId="NormalWebChar1">
    <w:name w:val="Normal (Web) Char1"/>
    <w:link w:val="NormalWeb"/>
    <w:locked/>
    <w:rsid w:val="00323204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styleId="Hyperlink">
    <w:name w:val="Hyperlink"/>
    <w:uiPriority w:val="99"/>
    <w:unhideWhenUsed/>
    <w:rsid w:val="00323204"/>
    <w:rPr>
      <w:color w:val="0000FF"/>
      <w:u w:val="single"/>
    </w:rPr>
  </w:style>
  <w:style w:type="paragraph" w:customStyle="1" w:styleId="cn">
    <w:name w:val="cn"/>
    <w:basedOn w:val="Normal"/>
    <w:rsid w:val="00323204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323204"/>
  </w:style>
  <w:style w:type="paragraph" w:styleId="BalloonText">
    <w:name w:val="Balloon Text"/>
    <w:basedOn w:val="Normal"/>
    <w:link w:val="BalloonTextChar"/>
    <w:uiPriority w:val="99"/>
    <w:semiHidden/>
    <w:unhideWhenUsed/>
    <w:rsid w:val="0032320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04"/>
    <w:rPr>
      <w:rFonts w:ascii="Tahoma" w:eastAsia="Times New Roman" w:hAnsi="Tahoma" w:cs="Times New Roman"/>
      <w:sz w:val="16"/>
      <w:szCs w:val="16"/>
      <w:lang w:val="ru-RU" w:eastAsia="x-none"/>
    </w:rPr>
  </w:style>
  <w:style w:type="paragraph" w:customStyle="1" w:styleId="tt">
    <w:name w:val="tt"/>
    <w:basedOn w:val="Normal"/>
    <w:uiPriority w:val="99"/>
    <w:rsid w:val="00323204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323204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3232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323204"/>
    <w:pPr>
      <w:suppressAutoHyphens/>
      <w:spacing w:before="120"/>
      <w:ind w:firstLine="0"/>
      <w:jc w:val="left"/>
    </w:pPr>
    <w:rPr>
      <w:rFonts w:ascii="Cambria" w:hAnsi="Cambria"/>
      <w:szCs w:val="24"/>
      <w:lang w:eastAsia="ar-SA"/>
    </w:rPr>
  </w:style>
  <w:style w:type="character" w:customStyle="1" w:styleId="BodyTextChar">
    <w:name w:val="Body Text Char"/>
    <w:basedOn w:val="DefaultParagraphFont"/>
    <w:rsid w:val="0032320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link w:val="BodyText"/>
    <w:rsid w:val="00323204"/>
    <w:rPr>
      <w:rFonts w:ascii="Cambria" w:eastAsia="Times New Roman" w:hAnsi="Cambria" w:cs="Times New Roman"/>
      <w:sz w:val="20"/>
      <w:szCs w:val="24"/>
      <w:lang w:val="ru-RU" w:eastAsia="ar-SA"/>
    </w:rPr>
  </w:style>
  <w:style w:type="character" w:customStyle="1" w:styleId="WW8Num1z0">
    <w:name w:val="WW8Num1z0"/>
    <w:rsid w:val="00323204"/>
    <w:rPr>
      <w:rFonts w:ascii="Wingdings 2" w:hAnsi="Wingdings 2"/>
    </w:rPr>
  </w:style>
  <w:style w:type="character" w:customStyle="1" w:styleId="WW8Num6z0">
    <w:name w:val="WW8Num6z0"/>
    <w:rsid w:val="00323204"/>
    <w:rPr>
      <w:rFonts w:ascii="Wingdings" w:hAnsi="Wingdings"/>
      <w:sz w:val="16"/>
    </w:rPr>
  </w:style>
  <w:style w:type="character" w:customStyle="1" w:styleId="WW8Num6z1">
    <w:name w:val="WW8Num6z1"/>
    <w:rsid w:val="00323204"/>
    <w:rPr>
      <w:rFonts w:ascii="Courier New" w:hAnsi="Courier New"/>
    </w:rPr>
  </w:style>
  <w:style w:type="character" w:customStyle="1" w:styleId="WW8Num6z2">
    <w:name w:val="WW8Num6z2"/>
    <w:rsid w:val="00323204"/>
    <w:rPr>
      <w:rFonts w:ascii="Wingdings" w:hAnsi="Wingdings"/>
    </w:rPr>
  </w:style>
  <w:style w:type="character" w:customStyle="1" w:styleId="WW8Num6z3">
    <w:name w:val="WW8Num6z3"/>
    <w:rsid w:val="00323204"/>
    <w:rPr>
      <w:rFonts w:ascii="Symbol" w:hAnsi="Symbol"/>
    </w:rPr>
  </w:style>
  <w:style w:type="character" w:customStyle="1" w:styleId="WW8Num7z0">
    <w:name w:val="WW8Num7z0"/>
    <w:rsid w:val="00323204"/>
    <w:rPr>
      <w:rFonts w:ascii="Symbol" w:hAnsi="Symbol"/>
    </w:rPr>
  </w:style>
  <w:style w:type="character" w:customStyle="1" w:styleId="WW8Num10z0">
    <w:name w:val="WW8Num10z0"/>
    <w:rsid w:val="00323204"/>
    <w:rPr>
      <w:rFonts w:ascii="Symbol" w:hAnsi="Symbol"/>
    </w:rPr>
  </w:style>
  <w:style w:type="character" w:customStyle="1" w:styleId="WW8Num10z1">
    <w:name w:val="WW8Num10z1"/>
    <w:rsid w:val="00323204"/>
    <w:rPr>
      <w:rFonts w:ascii="Courier New" w:hAnsi="Courier New"/>
    </w:rPr>
  </w:style>
  <w:style w:type="character" w:customStyle="1" w:styleId="WW8Num10z2">
    <w:name w:val="WW8Num10z2"/>
    <w:rsid w:val="00323204"/>
    <w:rPr>
      <w:rFonts w:ascii="Wingdings" w:hAnsi="Wingdings"/>
    </w:rPr>
  </w:style>
  <w:style w:type="character" w:customStyle="1" w:styleId="WW8Num11z0">
    <w:name w:val="WW8Num11z0"/>
    <w:rsid w:val="00323204"/>
    <w:rPr>
      <w:rFonts w:ascii="Symbol" w:hAnsi="Symbol"/>
    </w:rPr>
  </w:style>
  <w:style w:type="character" w:customStyle="1" w:styleId="WW8Num11z1">
    <w:name w:val="WW8Num11z1"/>
    <w:rsid w:val="00323204"/>
    <w:rPr>
      <w:rFonts w:ascii="Courier New" w:hAnsi="Courier New"/>
    </w:rPr>
  </w:style>
  <w:style w:type="character" w:customStyle="1" w:styleId="WW8Num11z2">
    <w:name w:val="WW8Num11z2"/>
    <w:rsid w:val="00323204"/>
    <w:rPr>
      <w:rFonts w:ascii="Wingdings" w:hAnsi="Wingdings"/>
    </w:rPr>
  </w:style>
  <w:style w:type="character" w:customStyle="1" w:styleId="WW8Num12z0">
    <w:name w:val="WW8Num12z0"/>
    <w:rsid w:val="00323204"/>
    <w:rPr>
      <w:rFonts w:ascii="Symbol" w:hAnsi="Symbol"/>
    </w:rPr>
  </w:style>
  <w:style w:type="character" w:customStyle="1" w:styleId="WW8Num12z1">
    <w:name w:val="WW8Num12z1"/>
    <w:rsid w:val="00323204"/>
    <w:rPr>
      <w:rFonts w:ascii="Courier New" w:hAnsi="Courier New"/>
    </w:rPr>
  </w:style>
  <w:style w:type="character" w:customStyle="1" w:styleId="WW8Num12z2">
    <w:name w:val="WW8Num12z2"/>
    <w:rsid w:val="00323204"/>
    <w:rPr>
      <w:rFonts w:ascii="Wingdings" w:hAnsi="Wingdings"/>
    </w:rPr>
  </w:style>
  <w:style w:type="character" w:customStyle="1" w:styleId="WW8Num13z0">
    <w:name w:val="WW8Num13z0"/>
    <w:rsid w:val="00323204"/>
    <w:rPr>
      <w:rFonts w:ascii="Wingdings" w:hAnsi="Wingdings"/>
      <w:sz w:val="16"/>
    </w:rPr>
  </w:style>
  <w:style w:type="character" w:customStyle="1" w:styleId="WW8Num13z1">
    <w:name w:val="WW8Num13z1"/>
    <w:rsid w:val="00323204"/>
    <w:rPr>
      <w:rFonts w:ascii="Courier New" w:hAnsi="Courier New"/>
    </w:rPr>
  </w:style>
  <w:style w:type="character" w:customStyle="1" w:styleId="WW8Num13z2">
    <w:name w:val="WW8Num13z2"/>
    <w:rsid w:val="00323204"/>
    <w:rPr>
      <w:rFonts w:ascii="Wingdings" w:hAnsi="Wingdings"/>
    </w:rPr>
  </w:style>
  <w:style w:type="character" w:customStyle="1" w:styleId="WW8Num13z3">
    <w:name w:val="WW8Num13z3"/>
    <w:rsid w:val="00323204"/>
    <w:rPr>
      <w:rFonts w:ascii="Symbol" w:hAnsi="Symbol"/>
    </w:rPr>
  </w:style>
  <w:style w:type="character" w:customStyle="1" w:styleId="WW8Num15z0">
    <w:name w:val="WW8Num15z0"/>
    <w:rsid w:val="00323204"/>
    <w:rPr>
      <w:rFonts w:ascii="Times New Roman" w:hAnsi="Times New Roman"/>
    </w:rPr>
  </w:style>
  <w:style w:type="character" w:customStyle="1" w:styleId="WW8Num16z0">
    <w:name w:val="WW8Num16z0"/>
    <w:rsid w:val="00323204"/>
    <w:rPr>
      <w:rFonts w:ascii="Symbol" w:hAnsi="Symbol"/>
      <w:sz w:val="16"/>
    </w:rPr>
  </w:style>
  <w:style w:type="character" w:customStyle="1" w:styleId="WW8Num17z0">
    <w:name w:val="WW8Num17z0"/>
    <w:rsid w:val="00323204"/>
    <w:rPr>
      <w:rFonts w:ascii="Times New Roman" w:hAnsi="Times New Roman"/>
    </w:rPr>
  </w:style>
  <w:style w:type="character" w:customStyle="1" w:styleId="WW8Num17z1">
    <w:name w:val="WW8Num17z1"/>
    <w:rsid w:val="00323204"/>
    <w:rPr>
      <w:rFonts w:ascii="Courier New" w:hAnsi="Courier New"/>
    </w:rPr>
  </w:style>
  <w:style w:type="character" w:customStyle="1" w:styleId="WW8Num17z2">
    <w:name w:val="WW8Num17z2"/>
    <w:rsid w:val="00323204"/>
    <w:rPr>
      <w:rFonts w:ascii="Wingdings" w:hAnsi="Wingdings"/>
    </w:rPr>
  </w:style>
  <w:style w:type="character" w:customStyle="1" w:styleId="WW8Num17z3">
    <w:name w:val="WW8Num17z3"/>
    <w:rsid w:val="00323204"/>
    <w:rPr>
      <w:rFonts w:ascii="Symbol" w:hAnsi="Symbol"/>
    </w:rPr>
  </w:style>
  <w:style w:type="character" w:customStyle="1" w:styleId="WW8Num21z0">
    <w:name w:val="WW8Num21z0"/>
    <w:rsid w:val="00323204"/>
    <w:rPr>
      <w:rFonts w:ascii="Symbol" w:hAnsi="Symbol"/>
    </w:rPr>
  </w:style>
  <w:style w:type="character" w:customStyle="1" w:styleId="WW8Num22z0">
    <w:name w:val="WW8Num22z0"/>
    <w:rsid w:val="00323204"/>
    <w:rPr>
      <w:rFonts w:ascii="Symbol" w:hAnsi="Symbol"/>
    </w:rPr>
  </w:style>
  <w:style w:type="character" w:customStyle="1" w:styleId="WW8Num24z0">
    <w:name w:val="WW8Num24z0"/>
    <w:rsid w:val="00323204"/>
    <w:rPr>
      <w:rFonts w:ascii="Symbol" w:hAnsi="Symbol"/>
    </w:rPr>
  </w:style>
  <w:style w:type="character" w:customStyle="1" w:styleId="WW8Num26z1">
    <w:name w:val="WW8Num26z1"/>
    <w:rsid w:val="00323204"/>
    <w:rPr>
      <w:rFonts w:ascii="Courier New" w:hAnsi="Courier New"/>
    </w:rPr>
  </w:style>
  <w:style w:type="character" w:customStyle="1" w:styleId="WW8Num26z2">
    <w:name w:val="WW8Num26z2"/>
    <w:rsid w:val="00323204"/>
    <w:rPr>
      <w:rFonts w:ascii="Wingdings" w:hAnsi="Wingdings"/>
    </w:rPr>
  </w:style>
  <w:style w:type="character" w:customStyle="1" w:styleId="WW8Num26z3">
    <w:name w:val="WW8Num26z3"/>
    <w:rsid w:val="00323204"/>
    <w:rPr>
      <w:rFonts w:ascii="Symbol" w:hAnsi="Symbol"/>
    </w:rPr>
  </w:style>
  <w:style w:type="character" w:customStyle="1" w:styleId="DefaultParagraphFont1">
    <w:name w:val="Default Paragraph Font1"/>
    <w:rsid w:val="00323204"/>
  </w:style>
  <w:style w:type="character" w:styleId="PageNumber">
    <w:name w:val="page number"/>
    <w:rsid w:val="00323204"/>
    <w:rPr>
      <w:rFonts w:cs="Times New Roman"/>
    </w:rPr>
  </w:style>
  <w:style w:type="character" w:customStyle="1" w:styleId="FootnoteCharacters">
    <w:name w:val="Footnote Characters"/>
    <w:rsid w:val="00323204"/>
    <w:rPr>
      <w:vertAlign w:val="superscript"/>
    </w:rPr>
  </w:style>
  <w:style w:type="character" w:styleId="FollowedHyperlink">
    <w:name w:val="FollowedHyperlink"/>
    <w:rsid w:val="00323204"/>
    <w:rPr>
      <w:color w:val="800080"/>
      <w:u w:val="single"/>
    </w:rPr>
  </w:style>
  <w:style w:type="character" w:customStyle="1" w:styleId="Heading3CharCharCharChar">
    <w:name w:val="Heading 3 Char Char Char Char"/>
    <w:rsid w:val="00323204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323204"/>
    <w:rPr>
      <w:rFonts w:cs="Times New Roman"/>
    </w:rPr>
  </w:style>
  <w:style w:type="character" w:customStyle="1" w:styleId="primfunc12">
    <w:name w:val="prim_func12"/>
    <w:rsid w:val="00323204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323204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323204"/>
    <w:rPr>
      <w:vertAlign w:val="superscript"/>
    </w:rPr>
  </w:style>
  <w:style w:type="character" w:customStyle="1" w:styleId="Foootnote">
    <w:name w:val="Foootnote"/>
    <w:rsid w:val="00323204"/>
    <w:rPr>
      <w:color w:val="000000"/>
      <w:vertAlign w:val="superscript"/>
    </w:rPr>
  </w:style>
  <w:style w:type="character" w:styleId="Strong">
    <w:name w:val="Strong"/>
    <w:qFormat/>
    <w:rsid w:val="00323204"/>
    <w:rPr>
      <w:b/>
    </w:rPr>
  </w:style>
  <w:style w:type="character" w:customStyle="1" w:styleId="NormalWebChar">
    <w:name w:val="Normal (Web) Char"/>
    <w:rsid w:val="00323204"/>
    <w:rPr>
      <w:sz w:val="24"/>
      <w:lang w:val="en-US" w:eastAsia="x-none"/>
    </w:rPr>
  </w:style>
  <w:style w:type="character" w:styleId="Emphasis">
    <w:name w:val="Emphasis"/>
    <w:qFormat/>
    <w:rsid w:val="00323204"/>
    <w:rPr>
      <w:i/>
    </w:rPr>
  </w:style>
  <w:style w:type="character" w:customStyle="1" w:styleId="BodyTextIndent3Char">
    <w:name w:val="Body Text Indent 3 Char"/>
    <w:rsid w:val="00323204"/>
    <w:rPr>
      <w:sz w:val="16"/>
      <w:lang w:val="en-AU" w:eastAsia="x-none"/>
    </w:rPr>
  </w:style>
  <w:style w:type="character" w:styleId="EndnoteReference">
    <w:name w:val="endnote reference"/>
    <w:semiHidden/>
    <w:rsid w:val="00323204"/>
    <w:rPr>
      <w:vertAlign w:val="superscript"/>
    </w:rPr>
  </w:style>
  <w:style w:type="character" w:customStyle="1" w:styleId="EndnoteCharacters">
    <w:name w:val="Endnote Characters"/>
    <w:rsid w:val="00323204"/>
  </w:style>
  <w:style w:type="paragraph" w:customStyle="1" w:styleId="Heading">
    <w:name w:val="Heading"/>
    <w:basedOn w:val="Normal"/>
    <w:next w:val="BodyText"/>
    <w:rsid w:val="00323204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323204"/>
  </w:style>
  <w:style w:type="paragraph" w:customStyle="1" w:styleId="Index">
    <w:name w:val="Index"/>
    <w:basedOn w:val="Normal"/>
    <w:rsid w:val="00323204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323204"/>
    <w:pPr>
      <w:suppressAutoHyphens/>
      <w:ind w:firstLine="0"/>
      <w:jc w:val="center"/>
    </w:pPr>
    <w:rPr>
      <w:b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323204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323204"/>
    <w:pPr>
      <w:jc w:val="center"/>
    </w:pPr>
    <w:rPr>
      <w:rFonts w:cs="Times New Roman"/>
      <w:i/>
      <w:iCs/>
      <w:lang w:val="x-none"/>
    </w:rPr>
  </w:style>
  <w:style w:type="character" w:customStyle="1" w:styleId="SubtitleChar">
    <w:name w:val="Subtitle Char"/>
    <w:basedOn w:val="DefaultParagraphFont"/>
    <w:link w:val="Subtitle"/>
    <w:uiPriority w:val="11"/>
    <w:rsid w:val="00323204"/>
    <w:rPr>
      <w:rFonts w:ascii="Nimbus Sans L" w:eastAsia="DejaVu Sans" w:hAnsi="Nimbus Sans L" w:cs="Times New Roman"/>
      <w:i/>
      <w:iCs/>
      <w:sz w:val="28"/>
      <w:szCs w:val="28"/>
      <w:lang w:val="x-none" w:eastAsia="ar-SA"/>
    </w:rPr>
  </w:style>
  <w:style w:type="character" w:customStyle="1" w:styleId="DocumentMapChar">
    <w:name w:val="Document Map Char"/>
    <w:link w:val="DocumentMap"/>
    <w:semiHidden/>
    <w:rsid w:val="00323204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323204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32320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link w:val="CommentText"/>
    <w:uiPriority w:val="99"/>
    <w:semiHidden/>
    <w:rsid w:val="00323204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323204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32320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323204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320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2320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323204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323204"/>
    <w:rPr>
      <w:rFonts w:ascii="Cambria Math" w:eastAsia="Times New Roman" w:hAnsi="Cambria Math" w:cs="Times New Roman"/>
      <w:sz w:val="20"/>
      <w:szCs w:val="24"/>
      <w:lang w:val="ru-RU" w:eastAsia="ar-SA"/>
    </w:rPr>
  </w:style>
  <w:style w:type="paragraph" w:customStyle="1" w:styleId="WW-Default">
    <w:name w:val="WW-Default"/>
    <w:rsid w:val="00323204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323204"/>
    <w:pPr>
      <w:suppressAutoHyphens/>
      <w:spacing w:after="120" w:line="480" w:lineRule="auto"/>
      <w:ind w:firstLine="0"/>
      <w:jc w:val="left"/>
    </w:pPr>
    <w:rPr>
      <w:rFonts w:ascii="Cambria Math" w:hAnsi="Cambria Math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323204"/>
    <w:rPr>
      <w:rFonts w:ascii="Cambria Math" w:eastAsia="Times New Roman" w:hAnsi="Cambria Math" w:cs="Times New Roman"/>
      <w:sz w:val="20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323204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204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323204"/>
    <w:pPr>
      <w:suppressAutoHyphens/>
      <w:spacing w:after="120"/>
      <w:ind w:left="283" w:firstLine="0"/>
      <w:jc w:val="left"/>
    </w:pPr>
    <w:rPr>
      <w:rFonts w:ascii="Cambria Math" w:hAnsi="Cambria Math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rsid w:val="00323204"/>
    <w:rPr>
      <w:rFonts w:ascii="Cambria Math" w:eastAsia="Times New Roman" w:hAnsi="Cambria Math" w:cs="Times New Roman"/>
      <w:sz w:val="20"/>
      <w:szCs w:val="24"/>
      <w:lang w:val="x-none" w:eastAsia="ar-SA"/>
    </w:rPr>
  </w:style>
  <w:style w:type="paragraph" w:customStyle="1" w:styleId="Normal2">
    <w:name w:val="Normal2"/>
    <w:rsid w:val="0032320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323204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323204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323204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x-none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323204"/>
    <w:rPr>
      <w:rFonts w:ascii="Cambria Math" w:eastAsia="Times New Roman" w:hAnsi="Cambria Math" w:cs="Times New Roman"/>
      <w:sz w:val="16"/>
      <w:szCs w:val="16"/>
      <w:lang w:val="x-none" w:eastAsia="ar-SA"/>
    </w:rPr>
  </w:style>
  <w:style w:type="paragraph" w:customStyle="1" w:styleId="CharCharCharCharCharCharCharCharCharChar">
    <w:name w:val="Char Char Char Char Char Char Char Char Char Char"/>
    <w:basedOn w:val="Normal"/>
    <w:rsid w:val="00323204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323204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323204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323204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323204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323204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323204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323204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323204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323204"/>
  </w:style>
  <w:style w:type="paragraph" w:customStyle="1" w:styleId="TableHeading">
    <w:name w:val="Table Heading"/>
    <w:basedOn w:val="TableContents"/>
    <w:rsid w:val="00323204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323204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32320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323204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32320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323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32320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323204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323204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32320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32320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323204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32320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323204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323204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32320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323204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323204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32320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323204"/>
    <w:rPr>
      <w:rFonts w:cs="Times New Roman"/>
    </w:rPr>
  </w:style>
  <w:style w:type="paragraph" w:customStyle="1" w:styleId="Listparagraf1">
    <w:name w:val="Listă paragraf1"/>
    <w:basedOn w:val="Normal"/>
    <w:rsid w:val="00323204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323204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323204"/>
    <w:pPr>
      <w:suppressAutoHyphens/>
      <w:ind w:firstLine="0"/>
      <w:jc w:val="left"/>
    </w:pPr>
    <w:rPr>
      <w:rFonts w:ascii="Cambria Math" w:hAnsi="Cambria Math"/>
      <w:szCs w:val="24"/>
      <w:lang w:val="x-none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323204"/>
    <w:rPr>
      <w:rFonts w:ascii="Cambria Math" w:eastAsia="Times New Roman" w:hAnsi="Cambria Math" w:cs="Times New Roman"/>
      <w:sz w:val="20"/>
      <w:szCs w:val="24"/>
      <w:lang w:val="x-none" w:eastAsia="ar-SA"/>
    </w:rPr>
  </w:style>
  <w:style w:type="paragraph" w:customStyle="1" w:styleId="Frspaiere1">
    <w:name w:val="Fără spațiere1"/>
    <w:link w:val="NoSpacingChar"/>
    <w:rsid w:val="00323204"/>
    <w:pPr>
      <w:spacing w:after="0" w:line="240" w:lineRule="auto"/>
    </w:pPr>
    <w:rPr>
      <w:rFonts w:ascii="Calibri" w:eastAsia="PMingLiU" w:hAnsi="Calibri" w:cs="Times New Roman"/>
      <w:szCs w:val="20"/>
      <w:lang w:val="en-US"/>
    </w:rPr>
  </w:style>
  <w:style w:type="character" w:customStyle="1" w:styleId="NoSpacingChar">
    <w:name w:val="No Spacing Char"/>
    <w:link w:val="Frspaiere1"/>
    <w:locked/>
    <w:rsid w:val="00323204"/>
    <w:rPr>
      <w:rFonts w:ascii="Calibri" w:eastAsia="PMingLiU" w:hAnsi="Calibri" w:cs="Times New Roman"/>
      <w:szCs w:val="20"/>
      <w:lang w:val="en-US"/>
    </w:rPr>
  </w:style>
  <w:style w:type="paragraph" w:customStyle="1" w:styleId="FootNote">
    <w:name w:val="FootNote"/>
    <w:basedOn w:val="FootnoteText"/>
    <w:link w:val="FootNoteChar"/>
    <w:rsid w:val="00323204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323204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3232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323204"/>
    <w:pPr>
      <w:suppressAutoHyphens/>
      <w:ind w:firstLine="0"/>
      <w:jc w:val="left"/>
    </w:pPr>
    <w:rPr>
      <w:rFonts w:ascii="Cambria Math" w:hAnsi="Cambria Math"/>
      <w:i/>
      <w:iCs/>
      <w:color w:val="000000"/>
      <w:szCs w:val="24"/>
      <w:lang w:val="x-none" w:eastAsia="ar-SA"/>
    </w:rPr>
  </w:style>
  <w:style w:type="character" w:customStyle="1" w:styleId="QuoteChar">
    <w:name w:val="Quote Char"/>
    <w:link w:val="Citat1"/>
    <w:locked/>
    <w:rsid w:val="00323204"/>
    <w:rPr>
      <w:rFonts w:ascii="Cambria Math" w:eastAsia="Times New Roman" w:hAnsi="Cambria Math" w:cs="Times New Roman"/>
      <w:i/>
      <w:iCs/>
      <w:color w:val="000000"/>
      <w:sz w:val="20"/>
      <w:szCs w:val="24"/>
      <w:lang w:val="x-none" w:eastAsia="ar-SA"/>
    </w:rPr>
  </w:style>
  <w:style w:type="paragraph" w:customStyle="1" w:styleId="CharCharCharChar1">
    <w:name w:val="Char Char Знак Знак Char Char1"/>
    <w:basedOn w:val="Normal"/>
    <w:rsid w:val="00323204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323204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323204"/>
    <w:pPr>
      <w:ind w:firstLine="0"/>
      <w:jc w:val="right"/>
    </w:pPr>
    <w:rPr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323204"/>
  </w:style>
  <w:style w:type="character" w:customStyle="1" w:styleId="apple-converted-space">
    <w:name w:val="apple-converted-space"/>
    <w:basedOn w:val="DefaultParagraphFont"/>
    <w:rsid w:val="00323204"/>
  </w:style>
  <w:style w:type="character" w:customStyle="1" w:styleId="docheader1">
    <w:name w:val="doc_header1"/>
    <w:rsid w:val="0032320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323204"/>
  </w:style>
  <w:style w:type="character" w:styleId="CommentReference">
    <w:name w:val="annotation reference"/>
    <w:uiPriority w:val="99"/>
    <w:semiHidden/>
    <w:unhideWhenUsed/>
    <w:rsid w:val="00323204"/>
    <w:rPr>
      <w:sz w:val="16"/>
      <w:szCs w:val="16"/>
    </w:rPr>
  </w:style>
  <w:style w:type="character" w:customStyle="1" w:styleId="docbody">
    <w:name w:val="doc_body"/>
    <w:basedOn w:val="DefaultParagraphFont"/>
    <w:rsid w:val="00323204"/>
  </w:style>
  <w:style w:type="table" w:styleId="TableGrid">
    <w:name w:val="Table Grid"/>
    <w:basedOn w:val="TableNormal"/>
    <w:uiPriority w:val="59"/>
    <w:rsid w:val="00323204"/>
    <w:pPr>
      <w:spacing w:after="0" w:line="240" w:lineRule="auto"/>
    </w:pPr>
    <w:rPr>
      <w:rFonts w:ascii="Calibri" w:eastAsia="Times New Roman" w:hAnsi="Calibri" w:cs="Arial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323204"/>
    <w:pPr>
      <w:ind w:firstLine="567"/>
    </w:pPr>
    <w:rPr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3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3204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323204"/>
  </w:style>
  <w:style w:type="paragraph" w:styleId="NoSpacing">
    <w:name w:val="No Spacing"/>
    <w:uiPriority w:val="1"/>
    <w:qFormat/>
    <w:rsid w:val="00323204"/>
    <w:pPr>
      <w:spacing w:after="0" w:line="240" w:lineRule="auto"/>
      <w:ind w:firstLine="709"/>
      <w:jc w:val="both"/>
    </w:pPr>
    <w:rPr>
      <w:rFonts w:ascii="Times New Roman" w:eastAsia="Calibri" w:hAnsi="Times New Roman" w:cs="Arial"/>
      <w:b/>
      <w:sz w:val="24"/>
      <w:lang w:val="en-US"/>
    </w:rPr>
  </w:style>
  <w:style w:type="character" w:styleId="BookTitle">
    <w:name w:val="Book Title"/>
    <w:uiPriority w:val="33"/>
    <w:qFormat/>
    <w:rsid w:val="00323204"/>
    <w:rPr>
      <w:b/>
      <w:bCs/>
      <w:smallCaps/>
      <w:spacing w:val="5"/>
    </w:rPr>
  </w:style>
  <w:style w:type="paragraph" w:styleId="BlockText">
    <w:name w:val="Block Text"/>
    <w:basedOn w:val="Normal"/>
    <w:rsid w:val="00323204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323204"/>
  </w:style>
  <w:style w:type="character" w:customStyle="1" w:styleId="a0">
    <w:name w:val="Сноска_"/>
    <w:link w:val="a1"/>
    <w:rsid w:val="00323204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323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323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323204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323204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32320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3232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323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323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323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323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323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323204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323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32320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3232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323204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323204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323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323204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323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323204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323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323204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323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323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323204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323204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323204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323204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323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3232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323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323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32320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3232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323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323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323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323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323204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3232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323204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323204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323204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323204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323204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323204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323204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323204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323204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323204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323204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323204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323204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323204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323204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323204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23204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323204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323204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323204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323204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323204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323204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323204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323204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323204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323204"/>
    <w:rPr>
      <w:vertAlign w:val="superscript"/>
    </w:rPr>
  </w:style>
  <w:style w:type="character" w:customStyle="1" w:styleId="FontStyle30">
    <w:name w:val="Font Style30"/>
    <w:uiPriority w:val="99"/>
    <w:rsid w:val="00323204"/>
    <w:rPr>
      <w:rFonts w:ascii="Times New Roman" w:hAnsi="Times New Roman" w:cs="Times New Roman"/>
      <w:spacing w:val="10"/>
      <w:sz w:val="24"/>
      <w:szCs w:val="24"/>
    </w:rPr>
  </w:style>
  <w:style w:type="table" w:customStyle="1" w:styleId="GrilTabel1">
    <w:name w:val="Grilă Tabel1"/>
    <w:basedOn w:val="TableNormal"/>
    <w:next w:val="TableGrid"/>
    <w:uiPriority w:val="39"/>
    <w:rsid w:val="00323204"/>
    <w:pPr>
      <w:spacing w:after="0" w:line="240" w:lineRule="auto"/>
    </w:pPr>
    <w:rPr>
      <w:rFonts w:ascii="Calibri" w:eastAsia="Calibri" w:hAnsi="Calibri" w:cs="Arial"/>
      <w:szCs w:val="20"/>
      <w:lang w:val="ru-RU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TableNormal"/>
    <w:next w:val="TableGrid"/>
    <w:uiPriority w:val="39"/>
    <w:rsid w:val="00323204"/>
    <w:pPr>
      <w:spacing w:after="0" w:line="240" w:lineRule="auto"/>
    </w:pPr>
    <w:rPr>
      <w:rFonts w:ascii="Calibri" w:eastAsia="Calibri" w:hAnsi="Calibri" w:cs="Arial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204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20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323204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323204"/>
    <w:pPr>
      <w:keepNext/>
      <w:jc w:val="center"/>
      <w:outlineLvl w:val="4"/>
    </w:pPr>
    <w:rPr>
      <w:rFonts w:ascii="$Caslon" w:hAnsi="$Caslon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23204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23204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323204"/>
    <w:pPr>
      <w:keepNext/>
      <w:jc w:val="center"/>
      <w:outlineLvl w:val="7"/>
    </w:pPr>
    <w:rPr>
      <w:rFonts w:ascii="$Caslon" w:hAnsi="$Caslon"/>
      <w:b/>
      <w:lang w:val="en-US" w:eastAsia="x-none"/>
    </w:rPr>
  </w:style>
  <w:style w:type="paragraph" w:styleId="Heading9">
    <w:name w:val="heading 9"/>
    <w:basedOn w:val="Normal"/>
    <w:next w:val="Normal"/>
    <w:link w:val="Heading9Char"/>
    <w:qFormat/>
    <w:rsid w:val="00323204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204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323204"/>
    <w:rPr>
      <w:rFonts w:ascii="Cambria" w:eastAsia="Times New Roman" w:hAnsi="Cambria" w:cs="Times New Roman"/>
      <w:b/>
      <w:bCs/>
      <w:color w:val="4F81BD"/>
      <w:sz w:val="26"/>
      <w:szCs w:val="26"/>
      <w:lang w:val="ru-RU" w:eastAsia="x-none"/>
    </w:rPr>
  </w:style>
  <w:style w:type="character" w:customStyle="1" w:styleId="Heading3Char">
    <w:name w:val="Heading 3 Char"/>
    <w:basedOn w:val="DefaultParagraphFont"/>
    <w:link w:val="Heading3"/>
    <w:rsid w:val="00323204"/>
    <w:rPr>
      <w:rFonts w:ascii="Cambria" w:eastAsia="Times New Roman" w:hAnsi="Cambria" w:cs="Times New Roman"/>
      <w:b/>
      <w:bCs/>
      <w:color w:val="4F81BD"/>
      <w:sz w:val="20"/>
      <w:szCs w:val="20"/>
      <w:lang w:val="en-US" w:eastAsia="x-none"/>
    </w:rPr>
  </w:style>
  <w:style w:type="character" w:customStyle="1" w:styleId="Heading5Char">
    <w:name w:val="Heading 5 Char"/>
    <w:basedOn w:val="DefaultParagraphFont"/>
    <w:link w:val="Heading5"/>
    <w:rsid w:val="00323204"/>
    <w:rPr>
      <w:rFonts w:ascii="$Caslon" w:eastAsia="Times New Roman" w:hAnsi="$Caslon" w:cs="Times New Roman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323204"/>
    <w:rPr>
      <w:rFonts w:ascii="Bookman Old Style" w:eastAsia="Times New Roman" w:hAnsi="Bookman Old Style" w:cs="Times New Roman"/>
      <w:b/>
      <w:bCs/>
      <w:szCs w:val="20"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323204"/>
    <w:rPr>
      <w:rFonts w:ascii="Bookman Old Style" w:eastAsia="Times New Roman" w:hAnsi="Bookman Old Style" w:cs="Times New Roman"/>
      <w:sz w:val="20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323204"/>
    <w:rPr>
      <w:rFonts w:ascii="$Caslon" w:eastAsia="Times New Roman" w:hAnsi="$Caslon" w:cs="Times New Roman"/>
      <w:b/>
      <w:sz w:val="20"/>
      <w:szCs w:val="20"/>
      <w:lang w:val="en-US" w:eastAsia="x-none"/>
    </w:rPr>
  </w:style>
  <w:style w:type="character" w:customStyle="1" w:styleId="Heading9Char">
    <w:name w:val="Heading 9 Char"/>
    <w:basedOn w:val="DefaultParagraphFont"/>
    <w:link w:val="Heading9"/>
    <w:rsid w:val="00323204"/>
    <w:rPr>
      <w:rFonts w:ascii="Arial" w:eastAsia="Times New Roman" w:hAnsi="Arial" w:cs="Times New Roman"/>
      <w:szCs w:val="20"/>
      <w:lang w:val="ru-RU" w:eastAsia="ar-SA"/>
    </w:rPr>
  </w:style>
  <w:style w:type="paragraph" w:styleId="ListParagraph">
    <w:name w:val="List Paragraph"/>
    <w:basedOn w:val="Normal"/>
    <w:uiPriority w:val="34"/>
    <w:qFormat/>
    <w:rsid w:val="0032320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news">
    <w:name w:val="news"/>
    <w:basedOn w:val="Normal"/>
    <w:rsid w:val="00323204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2320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23204"/>
    <w:rPr>
      <w:rFonts w:ascii="Times New Roman" w:eastAsia="Times New Roman" w:hAnsi="Times New Roman" w:cs="Times New Roman"/>
      <w:sz w:val="20"/>
      <w:szCs w:val="20"/>
      <w:lang w:val="ru-RU" w:eastAsia="x-none"/>
    </w:rPr>
  </w:style>
  <w:style w:type="paragraph" w:styleId="Footer">
    <w:name w:val="footer"/>
    <w:basedOn w:val="Normal"/>
    <w:link w:val="FooterChar"/>
    <w:uiPriority w:val="99"/>
    <w:unhideWhenUsed/>
    <w:rsid w:val="0032320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23204"/>
    <w:rPr>
      <w:rFonts w:ascii="Times New Roman" w:eastAsia="Times New Roman" w:hAnsi="Times New Roman" w:cs="Times New Roman"/>
      <w:sz w:val="20"/>
      <w:szCs w:val="20"/>
      <w:lang w:val="ru-RU" w:eastAsia="x-none"/>
    </w:rPr>
  </w:style>
  <w:style w:type="paragraph" w:styleId="NormalWeb">
    <w:name w:val="Normal (Web)"/>
    <w:basedOn w:val="Normal"/>
    <w:link w:val="NormalWebChar1"/>
    <w:unhideWhenUsed/>
    <w:rsid w:val="00323204"/>
    <w:pPr>
      <w:ind w:firstLine="567"/>
    </w:pPr>
    <w:rPr>
      <w:szCs w:val="24"/>
      <w:lang w:eastAsia="ru-RU"/>
    </w:rPr>
  </w:style>
  <w:style w:type="character" w:customStyle="1" w:styleId="NormalWebChar1">
    <w:name w:val="Normal (Web) Char1"/>
    <w:link w:val="NormalWeb"/>
    <w:locked/>
    <w:rsid w:val="00323204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styleId="Hyperlink">
    <w:name w:val="Hyperlink"/>
    <w:uiPriority w:val="99"/>
    <w:unhideWhenUsed/>
    <w:rsid w:val="00323204"/>
    <w:rPr>
      <w:color w:val="0000FF"/>
      <w:u w:val="single"/>
    </w:rPr>
  </w:style>
  <w:style w:type="paragraph" w:customStyle="1" w:styleId="cn">
    <w:name w:val="cn"/>
    <w:basedOn w:val="Normal"/>
    <w:rsid w:val="00323204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323204"/>
  </w:style>
  <w:style w:type="paragraph" w:styleId="BalloonText">
    <w:name w:val="Balloon Text"/>
    <w:basedOn w:val="Normal"/>
    <w:link w:val="BalloonTextChar"/>
    <w:uiPriority w:val="99"/>
    <w:semiHidden/>
    <w:unhideWhenUsed/>
    <w:rsid w:val="0032320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04"/>
    <w:rPr>
      <w:rFonts w:ascii="Tahoma" w:eastAsia="Times New Roman" w:hAnsi="Tahoma" w:cs="Times New Roman"/>
      <w:sz w:val="16"/>
      <w:szCs w:val="16"/>
      <w:lang w:val="ru-RU" w:eastAsia="x-none"/>
    </w:rPr>
  </w:style>
  <w:style w:type="paragraph" w:customStyle="1" w:styleId="tt">
    <w:name w:val="tt"/>
    <w:basedOn w:val="Normal"/>
    <w:uiPriority w:val="99"/>
    <w:rsid w:val="00323204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323204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3232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323204"/>
    <w:pPr>
      <w:suppressAutoHyphens/>
      <w:spacing w:before="120"/>
      <w:ind w:firstLine="0"/>
      <w:jc w:val="left"/>
    </w:pPr>
    <w:rPr>
      <w:rFonts w:ascii="Cambria" w:hAnsi="Cambria"/>
      <w:szCs w:val="24"/>
      <w:lang w:eastAsia="ar-SA"/>
    </w:rPr>
  </w:style>
  <w:style w:type="character" w:customStyle="1" w:styleId="BodyTextChar">
    <w:name w:val="Body Text Char"/>
    <w:basedOn w:val="DefaultParagraphFont"/>
    <w:rsid w:val="0032320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link w:val="BodyText"/>
    <w:rsid w:val="00323204"/>
    <w:rPr>
      <w:rFonts w:ascii="Cambria" w:eastAsia="Times New Roman" w:hAnsi="Cambria" w:cs="Times New Roman"/>
      <w:sz w:val="20"/>
      <w:szCs w:val="24"/>
      <w:lang w:val="ru-RU" w:eastAsia="ar-SA"/>
    </w:rPr>
  </w:style>
  <w:style w:type="character" w:customStyle="1" w:styleId="WW8Num1z0">
    <w:name w:val="WW8Num1z0"/>
    <w:rsid w:val="00323204"/>
    <w:rPr>
      <w:rFonts w:ascii="Wingdings 2" w:hAnsi="Wingdings 2"/>
    </w:rPr>
  </w:style>
  <w:style w:type="character" w:customStyle="1" w:styleId="WW8Num6z0">
    <w:name w:val="WW8Num6z0"/>
    <w:rsid w:val="00323204"/>
    <w:rPr>
      <w:rFonts w:ascii="Wingdings" w:hAnsi="Wingdings"/>
      <w:sz w:val="16"/>
    </w:rPr>
  </w:style>
  <w:style w:type="character" w:customStyle="1" w:styleId="WW8Num6z1">
    <w:name w:val="WW8Num6z1"/>
    <w:rsid w:val="00323204"/>
    <w:rPr>
      <w:rFonts w:ascii="Courier New" w:hAnsi="Courier New"/>
    </w:rPr>
  </w:style>
  <w:style w:type="character" w:customStyle="1" w:styleId="WW8Num6z2">
    <w:name w:val="WW8Num6z2"/>
    <w:rsid w:val="00323204"/>
    <w:rPr>
      <w:rFonts w:ascii="Wingdings" w:hAnsi="Wingdings"/>
    </w:rPr>
  </w:style>
  <w:style w:type="character" w:customStyle="1" w:styleId="WW8Num6z3">
    <w:name w:val="WW8Num6z3"/>
    <w:rsid w:val="00323204"/>
    <w:rPr>
      <w:rFonts w:ascii="Symbol" w:hAnsi="Symbol"/>
    </w:rPr>
  </w:style>
  <w:style w:type="character" w:customStyle="1" w:styleId="WW8Num7z0">
    <w:name w:val="WW8Num7z0"/>
    <w:rsid w:val="00323204"/>
    <w:rPr>
      <w:rFonts w:ascii="Symbol" w:hAnsi="Symbol"/>
    </w:rPr>
  </w:style>
  <w:style w:type="character" w:customStyle="1" w:styleId="WW8Num10z0">
    <w:name w:val="WW8Num10z0"/>
    <w:rsid w:val="00323204"/>
    <w:rPr>
      <w:rFonts w:ascii="Symbol" w:hAnsi="Symbol"/>
    </w:rPr>
  </w:style>
  <w:style w:type="character" w:customStyle="1" w:styleId="WW8Num10z1">
    <w:name w:val="WW8Num10z1"/>
    <w:rsid w:val="00323204"/>
    <w:rPr>
      <w:rFonts w:ascii="Courier New" w:hAnsi="Courier New"/>
    </w:rPr>
  </w:style>
  <w:style w:type="character" w:customStyle="1" w:styleId="WW8Num10z2">
    <w:name w:val="WW8Num10z2"/>
    <w:rsid w:val="00323204"/>
    <w:rPr>
      <w:rFonts w:ascii="Wingdings" w:hAnsi="Wingdings"/>
    </w:rPr>
  </w:style>
  <w:style w:type="character" w:customStyle="1" w:styleId="WW8Num11z0">
    <w:name w:val="WW8Num11z0"/>
    <w:rsid w:val="00323204"/>
    <w:rPr>
      <w:rFonts w:ascii="Symbol" w:hAnsi="Symbol"/>
    </w:rPr>
  </w:style>
  <w:style w:type="character" w:customStyle="1" w:styleId="WW8Num11z1">
    <w:name w:val="WW8Num11z1"/>
    <w:rsid w:val="00323204"/>
    <w:rPr>
      <w:rFonts w:ascii="Courier New" w:hAnsi="Courier New"/>
    </w:rPr>
  </w:style>
  <w:style w:type="character" w:customStyle="1" w:styleId="WW8Num11z2">
    <w:name w:val="WW8Num11z2"/>
    <w:rsid w:val="00323204"/>
    <w:rPr>
      <w:rFonts w:ascii="Wingdings" w:hAnsi="Wingdings"/>
    </w:rPr>
  </w:style>
  <w:style w:type="character" w:customStyle="1" w:styleId="WW8Num12z0">
    <w:name w:val="WW8Num12z0"/>
    <w:rsid w:val="00323204"/>
    <w:rPr>
      <w:rFonts w:ascii="Symbol" w:hAnsi="Symbol"/>
    </w:rPr>
  </w:style>
  <w:style w:type="character" w:customStyle="1" w:styleId="WW8Num12z1">
    <w:name w:val="WW8Num12z1"/>
    <w:rsid w:val="00323204"/>
    <w:rPr>
      <w:rFonts w:ascii="Courier New" w:hAnsi="Courier New"/>
    </w:rPr>
  </w:style>
  <w:style w:type="character" w:customStyle="1" w:styleId="WW8Num12z2">
    <w:name w:val="WW8Num12z2"/>
    <w:rsid w:val="00323204"/>
    <w:rPr>
      <w:rFonts w:ascii="Wingdings" w:hAnsi="Wingdings"/>
    </w:rPr>
  </w:style>
  <w:style w:type="character" w:customStyle="1" w:styleId="WW8Num13z0">
    <w:name w:val="WW8Num13z0"/>
    <w:rsid w:val="00323204"/>
    <w:rPr>
      <w:rFonts w:ascii="Wingdings" w:hAnsi="Wingdings"/>
      <w:sz w:val="16"/>
    </w:rPr>
  </w:style>
  <w:style w:type="character" w:customStyle="1" w:styleId="WW8Num13z1">
    <w:name w:val="WW8Num13z1"/>
    <w:rsid w:val="00323204"/>
    <w:rPr>
      <w:rFonts w:ascii="Courier New" w:hAnsi="Courier New"/>
    </w:rPr>
  </w:style>
  <w:style w:type="character" w:customStyle="1" w:styleId="WW8Num13z2">
    <w:name w:val="WW8Num13z2"/>
    <w:rsid w:val="00323204"/>
    <w:rPr>
      <w:rFonts w:ascii="Wingdings" w:hAnsi="Wingdings"/>
    </w:rPr>
  </w:style>
  <w:style w:type="character" w:customStyle="1" w:styleId="WW8Num13z3">
    <w:name w:val="WW8Num13z3"/>
    <w:rsid w:val="00323204"/>
    <w:rPr>
      <w:rFonts w:ascii="Symbol" w:hAnsi="Symbol"/>
    </w:rPr>
  </w:style>
  <w:style w:type="character" w:customStyle="1" w:styleId="WW8Num15z0">
    <w:name w:val="WW8Num15z0"/>
    <w:rsid w:val="00323204"/>
    <w:rPr>
      <w:rFonts w:ascii="Times New Roman" w:hAnsi="Times New Roman"/>
    </w:rPr>
  </w:style>
  <w:style w:type="character" w:customStyle="1" w:styleId="WW8Num16z0">
    <w:name w:val="WW8Num16z0"/>
    <w:rsid w:val="00323204"/>
    <w:rPr>
      <w:rFonts w:ascii="Symbol" w:hAnsi="Symbol"/>
      <w:sz w:val="16"/>
    </w:rPr>
  </w:style>
  <w:style w:type="character" w:customStyle="1" w:styleId="WW8Num17z0">
    <w:name w:val="WW8Num17z0"/>
    <w:rsid w:val="00323204"/>
    <w:rPr>
      <w:rFonts w:ascii="Times New Roman" w:hAnsi="Times New Roman"/>
    </w:rPr>
  </w:style>
  <w:style w:type="character" w:customStyle="1" w:styleId="WW8Num17z1">
    <w:name w:val="WW8Num17z1"/>
    <w:rsid w:val="00323204"/>
    <w:rPr>
      <w:rFonts w:ascii="Courier New" w:hAnsi="Courier New"/>
    </w:rPr>
  </w:style>
  <w:style w:type="character" w:customStyle="1" w:styleId="WW8Num17z2">
    <w:name w:val="WW8Num17z2"/>
    <w:rsid w:val="00323204"/>
    <w:rPr>
      <w:rFonts w:ascii="Wingdings" w:hAnsi="Wingdings"/>
    </w:rPr>
  </w:style>
  <w:style w:type="character" w:customStyle="1" w:styleId="WW8Num17z3">
    <w:name w:val="WW8Num17z3"/>
    <w:rsid w:val="00323204"/>
    <w:rPr>
      <w:rFonts w:ascii="Symbol" w:hAnsi="Symbol"/>
    </w:rPr>
  </w:style>
  <w:style w:type="character" w:customStyle="1" w:styleId="WW8Num21z0">
    <w:name w:val="WW8Num21z0"/>
    <w:rsid w:val="00323204"/>
    <w:rPr>
      <w:rFonts w:ascii="Symbol" w:hAnsi="Symbol"/>
    </w:rPr>
  </w:style>
  <w:style w:type="character" w:customStyle="1" w:styleId="WW8Num22z0">
    <w:name w:val="WW8Num22z0"/>
    <w:rsid w:val="00323204"/>
    <w:rPr>
      <w:rFonts w:ascii="Symbol" w:hAnsi="Symbol"/>
    </w:rPr>
  </w:style>
  <w:style w:type="character" w:customStyle="1" w:styleId="WW8Num24z0">
    <w:name w:val="WW8Num24z0"/>
    <w:rsid w:val="00323204"/>
    <w:rPr>
      <w:rFonts w:ascii="Symbol" w:hAnsi="Symbol"/>
    </w:rPr>
  </w:style>
  <w:style w:type="character" w:customStyle="1" w:styleId="WW8Num26z1">
    <w:name w:val="WW8Num26z1"/>
    <w:rsid w:val="00323204"/>
    <w:rPr>
      <w:rFonts w:ascii="Courier New" w:hAnsi="Courier New"/>
    </w:rPr>
  </w:style>
  <w:style w:type="character" w:customStyle="1" w:styleId="WW8Num26z2">
    <w:name w:val="WW8Num26z2"/>
    <w:rsid w:val="00323204"/>
    <w:rPr>
      <w:rFonts w:ascii="Wingdings" w:hAnsi="Wingdings"/>
    </w:rPr>
  </w:style>
  <w:style w:type="character" w:customStyle="1" w:styleId="WW8Num26z3">
    <w:name w:val="WW8Num26z3"/>
    <w:rsid w:val="00323204"/>
    <w:rPr>
      <w:rFonts w:ascii="Symbol" w:hAnsi="Symbol"/>
    </w:rPr>
  </w:style>
  <w:style w:type="character" w:customStyle="1" w:styleId="DefaultParagraphFont1">
    <w:name w:val="Default Paragraph Font1"/>
    <w:rsid w:val="00323204"/>
  </w:style>
  <w:style w:type="character" w:styleId="PageNumber">
    <w:name w:val="page number"/>
    <w:rsid w:val="00323204"/>
    <w:rPr>
      <w:rFonts w:cs="Times New Roman"/>
    </w:rPr>
  </w:style>
  <w:style w:type="character" w:customStyle="1" w:styleId="FootnoteCharacters">
    <w:name w:val="Footnote Characters"/>
    <w:rsid w:val="00323204"/>
    <w:rPr>
      <w:vertAlign w:val="superscript"/>
    </w:rPr>
  </w:style>
  <w:style w:type="character" w:styleId="FollowedHyperlink">
    <w:name w:val="FollowedHyperlink"/>
    <w:rsid w:val="00323204"/>
    <w:rPr>
      <w:color w:val="800080"/>
      <w:u w:val="single"/>
    </w:rPr>
  </w:style>
  <w:style w:type="character" w:customStyle="1" w:styleId="Heading3CharCharCharChar">
    <w:name w:val="Heading 3 Char Char Char Char"/>
    <w:rsid w:val="00323204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323204"/>
    <w:rPr>
      <w:rFonts w:cs="Times New Roman"/>
    </w:rPr>
  </w:style>
  <w:style w:type="character" w:customStyle="1" w:styleId="primfunc12">
    <w:name w:val="prim_func12"/>
    <w:rsid w:val="00323204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323204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323204"/>
    <w:rPr>
      <w:vertAlign w:val="superscript"/>
    </w:rPr>
  </w:style>
  <w:style w:type="character" w:customStyle="1" w:styleId="Foootnote">
    <w:name w:val="Foootnote"/>
    <w:rsid w:val="00323204"/>
    <w:rPr>
      <w:color w:val="000000"/>
      <w:vertAlign w:val="superscript"/>
    </w:rPr>
  </w:style>
  <w:style w:type="character" w:styleId="Strong">
    <w:name w:val="Strong"/>
    <w:qFormat/>
    <w:rsid w:val="00323204"/>
    <w:rPr>
      <w:b/>
    </w:rPr>
  </w:style>
  <w:style w:type="character" w:customStyle="1" w:styleId="NormalWebChar">
    <w:name w:val="Normal (Web) Char"/>
    <w:rsid w:val="00323204"/>
    <w:rPr>
      <w:sz w:val="24"/>
      <w:lang w:val="en-US" w:eastAsia="x-none"/>
    </w:rPr>
  </w:style>
  <w:style w:type="character" w:styleId="Emphasis">
    <w:name w:val="Emphasis"/>
    <w:qFormat/>
    <w:rsid w:val="00323204"/>
    <w:rPr>
      <w:i/>
    </w:rPr>
  </w:style>
  <w:style w:type="character" w:customStyle="1" w:styleId="BodyTextIndent3Char">
    <w:name w:val="Body Text Indent 3 Char"/>
    <w:rsid w:val="00323204"/>
    <w:rPr>
      <w:sz w:val="16"/>
      <w:lang w:val="en-AU" w:eastAsia="x-none"/>
    </w:rPr>
  </w:style>
  <w:style w:type="character" w:styleId="EndnoteReference">
    <w:name w:val="endnote reference"/>
    <w:semiHidden/>
    <w:rsid w:val="00323204"/>
    <w:rPr>
      <w:vertAlign w:val="superscript"/>
    </w:rPr>
  </w:style>
  <w:style w:type="character" w:customStyle="1" w:styleId="EndnoteCharacters">
    <w:name w:val="Endnote Characters"/>
    <w:rsid w:val="00323204"/>
  </w:style>
  <w:style w:type="paragraph" w:customStyle="1" w:styleId="Heading">
    <w:name w:val="Heading"/>
    <w:basedOn w:val="Normal"/>
    <w:next w:val="BodyText"/>
    <w:rsid w:val="00323204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323204"/>
  </w:style>
  <w:style w:type="paragraph" w:customStyle="1" w:styleId="Index">
    <w:name w:val="Index"/>
    <w:basedOn w:val="Normal"/>
    <w:rsid w:val="00323204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323204"/>
    <w:pPr>
      <w:suppressAutoHyphens/>
      <w:ind w:firstLine="0"/>
      <w:jc w:val="center"/>
    </w:pPr>
    <w:rPr>
      <w:b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323204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323204"/>
    <w:pPr>
      <w:jc w:val="center"/>
    </w:pPr>
    <w:rPr>
      <w:rFonts w:cs="Times New Roman"/>
      <w:i/>
      <w:iCs/>
      <w:lang w:val="x-none"/>
    </w:rPr>
  </w:style>
  <w:style w:type="character" w:customStyle="1" w:styleId="SubtitleChar">
    <w:name w:val="Subtitle Char"/>
    <w:basedOn w:val="DefaultParagraphFont"/>
    <w:link w:val="Subtitle"/>
    <w:uiPriority w:val="11"/>
    <w:rsid w:val="00323204"/>
    <w:rPr>
      <w:rFonts w:ascii="Nimbus Sans L" w:eastAsia="DejaVu Sans" w:hAnsi="Nimbus Sans L" w:cs="Times New Roman"/>
      <w:i/>
      <w:iCs/>
      <w:sz w:val="28"/>
      <w:szCs w:val="28"/>
      <w:lang w:val="x-none" w:eastAsia="ar-SA"/>
    </w:rPr>
  </w:style>
  <w:style w:type="character" w:customStyle="1" w:styleId="DocumentMapChar">
    <w:name w:val="Document Map Char"/>
    <w:link w:val="DocumentMap"/>
    <w:semiHidden/>
    <w:rsid w:val="00323204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323204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32320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link w:val="CommentText"/>
    <w:uiPriority w:val="99"/>
    <w:semiHidden/>
    <w:rsid w:val="00323204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323204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32320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323204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320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2320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323204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323204"/>
    <w:rPr>
      <w:rFonts w:ascii="Cambria Math" w:eastAsia="Times New Roman" w:hAnsi="Cambria Math" w:cs="Times New Roman"/>
      <w:sz w:val="20"/>
      <w:szCs w:val="24"/>
      <w:lang w:val="ru-RU" w:eastAsia="ar-SA"/>
    </w:rPr>
  </w:style>
  <w:style w:type="paragraph" w:customStyle="1" w:styleId="WW-Default">
    <w:name w:val="WW-Default"/>
    <w:rsid w:val="00323204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323204"/>
    <w:pPr>
      <w:suppressAutoHyphens/>
      <w:spacing w:after="120" w:line="480" w:lineRule="auto"/>
      <w:ind w:firstLine="0"/>
      <w:jc w:val="left"/>
    </w:pPr>
    <w:rPr>
      <w:rFonts w:ascii="Cambria Math" w:hAnsi="Cambria Math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323204"/>
    <w:rPr>
      <w:rFonts w:ascii="Cambria Math" w:eastAsia="Times New Roman" w:hAnsi="Cambria Math" w:cs="Times New Roman"/>
      <w:sz w:val="20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323204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204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323204"/>
    <w:pPr>
      <w:suppressAutoHyphens/>
      <w:spacing w:after="120"/>
      <w:ind w:left="283" w:firstLine="0"/>
      <w:jc w:val="left"/>
    </w:pPr>
    <w:rPr>
      <w:rFonts w:ascii="Cambria Math" w:hAnsi="Cambria Math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rsid w:val="00323204"/>
    <w:rPr>
      <w:rFonts w:ascii="Cambria Math" w:eastAsia="Times New Roman" w:hAnsi="Cambria Math" w:cs="Times New Roman"/>
      <w:sz w:val="20"/>
      <w:szCs w:val="24"/>
      <w:lang w:val="x-none" w:eastAsia="ar-SA"/>
    </w:rPr>
  </w:style>
  <w:style w:type="paragraph" w:customStyle="1" w:styleId="Normal2">
    <w:name w:val="Normal2"/>
    <w:rsid w:val="0032320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323204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323204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323204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x-none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323204"/>
    <w:rPr>
      <w:rFonts w:ascii="Cambria Math" w:eastAsia="Times New Roman" w:hAnsi="Cambria Math" w:cs="Times New Roman"/>
      <w:sz w:val="16"/>
      <w:szCs w:val="16"/>
      <w:lang w:val="x-none" w:eastAsia="ar-SA"/>
    </w:rPr>
  </w:style>
  <w:style w:type="paragraph" w:customStyle="1" w:styleId="CharCharCharCharCharCharCharCharCharChar">
    <w:name w:val="Char Char Char Char Char Char Char Char Char Char"/>
    <w:basedOn w:val="Normal"/>
    <w:rsid w:val="00323204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323204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323204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323204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323204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323204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323204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323204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323204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323204"/>
  </w:style>
  <w:style w:type="paragraph" w:customStyle="1" w:styleId="TableHeading">
    <w:name w:val="Table Heading"/>
    <w:basedOn w:val="TableContents"/>
    <w:rsid w:val="00323204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323204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32320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323204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32320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323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32320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323204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323204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32320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32320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323204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32320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323204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323204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32320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323204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323204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32320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323204"/>
    <w:rPr>
      <w:rFonts w:cs="Times New Roman"/>
    </w:rPr>
  </w:style>
  <w:style w:type="paragraph" w:customStyle="1" w:styleId="Listparagraf1">
    <w:name w:val="Listă paragraf1"/>
    <w:basedOn w:val="Normal"/>
    <w:rsid w:val="00323204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323204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323204"/>
    <w:pPr>
      <w:suppressAutoHyphens/>
      <w:ind w:firstLine="0"/>
      <w:jc w:val="left"/>
    </w:pPr>
    <w:rPr>
      <w:rFonts w:ascii="Cambria Math" w:hAnsi="Cambria Math"/>
      <w:szCs w:val="24"/>
      <w:lang w:val="x-none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323204"/>
    <w:rPr>
      <w:rFonts w:ascii="Cambria Math" w:eastAsia="Times New Roman" w:hAnsi="Cambria Math" w:cs="Times New Roman"/>
      <w:sz w:val="20"/>
      <w:szCs w:val="24"/>
      <w:lang w:val="x-none" w:eastAsia="ar-SA"/>
    </w:rPr>
  </w:style>
  <w:style w:type="paragraph" w:customStyle="1" w:styleId="Frspaiere1">
    <w:name w:val="Fără spațiere1"/>
    <w:link w:val="NoSpacingChar"/>
    <w:rsid w:val="00323204"/>
    <w:pPr>
      <w:spacing w:after="0" w:line="240" w:lineRule="auto"/>
    </w:pPr>
    <w:rPr>
      <w:rFonts w:ascii="Calibri" w:eastAsia="PMingLiU" w:hAnsi="Calibri" w:cs="Times New Roman"/>
      <w:szCs w:val="20"/>
      <w:lang w:val="en-US"/>
    </w:rPr>
  </w:style>
  <w:style w:type="character" w:customStyle="1" w:styleId="NoSpacingChar">
    <w:name w:val="No Spacing Char"/>
    <w:link w:val="Frspaiere1"/>
    <w:locked/>
    <w:rsid w:val="00323204"/>
    <w:rPr>
      <w:rFonts w:ascii="Calibri" w:eastAsia="PMingLiU" w:hAnsi="Calibri" w:cs="Times New Roman"/>
      <w:szCs w:val="20"/>
      <w:lang w:val="en-US"/>
    </w:rPr>
  </w:style>
  <w:style w:type="paragraph" w:customStyle="1" w:styleId="FootNote">
    <w:name w:val="FootNote"/>
    <w:basedOn w:val="FootnoteText"/>
    <w:link w:val="FootNoteChar"/>
    <w:rsid w:val="00323204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323204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3232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323204"/>
    <w:pPr>
      <w:suppressAutoHyphens/>
      <w:ind w:firstLine="0"/>
      <w:jc w:val="left"/>
    </w:pPr>
    <w:rPr>
      <w:rFonts w:ascii="Cambria Math" w:hAnsi="Cambria Math"/>
      <w:i/>
      <w:iCs/>
      <w:color w:val="000000"/>
      <w:szCs w:val="24"/>
      <w:lang w:val="x-none" w:eastAsia="ar-SA"/>
    </w:rPr>
  </w:style>
  <w:style w:type="character" w:customStyle="1" w:styleId="QuoteChar">
    <w:name w:val="Quote Char"/>
    <w:link w:val="Citat1"/>
    <w:locked/>
    <w:rsid w:val="00323204"/>
    <w:rPr>
      <w:rFonts w:ascii="Cambria Math" w:eastAsia="Times New Roman" w:hAnsi="Cambria Math" w:cs="Times New Roman"/>
      <w:i/>
      <w:iCs/>
      <w:color w:val="000000"/>
      <w:sz w:val="20"/>
      <w:szCs w:val="24"/>
      <w:lang w:val="x-none" w:eastAsia="ar-SA"/>
    </w:rPr>
  </w:style>
  <w:style w:type="paragraph" w:customStyle="1" w:styleId="CharCharCharChar1">
    <w:name w:val="Char Char Знак Знак Char Char1"/>
    <w:basedOn w:val="Normal"/>
    <w:rsid w:val="00323204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323204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323204"/>
    <w:pPr>
      <w:ind w:firstLine="0"/>
      <w:jc w:val="right"/>
    </w:pPr>
    <w:rPr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323204"/>
  </w:style>
  <w:style w:type="character" w:customStyle="1" w:styleId="apple-converted-space">
    <w:name w:val="apple-converted-space"/>
    <w:basedOn w:val="DefaultParagraphFont"/>
    <w:rsid w:val="00323204"/>
  </w:style>
  <w:style w:type="character" w:customStyle="1" w:styleId="docheader1">
    <w:name w:val="doc_header1"/>
    <w:rsid w:val="0032320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323204"/>
  </w:style>
  <w:style w:type="character" w:styleId="CommentReference">
    <w:name w:val="annotation reference"/>
    <w:uiPriority w:val="99"/>
    <w:semiHidden/>
    <w:unhideWhenUsed/>
    <w:rsid w:val="00323204"/>
    <w:rPr>
      <w:sz w:val="16"/>
      <w:szCs w:val="16"/>
    </w:rPr>
  </w:style>
  <w:style w:type="character" w:customStyle="1" w:styleId="docbody">
    <w:name w:val="doc_body"/>
    <w:basedOn w:val="DefaultParagraphFont"/>
    <w:rsid w:val="00323204"/>
  </w:style>
  <w:style w:type="table" w:styleId="TableGrid">
    <w:name w:val="Table Grid"/>
    <w:basedOn w:val="TableNormal"/>
    <w:uiPriority w:val="59"/>
    <w:rsid w:val="00323204"/>
    <w:pPr>
      <w:spacing w:after="0" w:line="240" w:lineRule="auto"/>
    </w:pPr>
    <w:rPr>
      <w:rFonts w:ascii="Calibri" w:eastAsia="Times New Roman" w:hAnsi="Calibri" w:cs="Arial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323204"/>
    <w:pPr>
      <w:ind w:firstLine="567"/>
    </w:pPr>
    <w:rPr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3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3204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323204"/>
  </w:style>
  <w:style w:type="paragraph" w:styleId="NoSpacing">
    <w:name w:val="No Spacing"/>
    <w:uiPriority w:val="1"/>
    <w:qFormat/>
    <w:rsid w:val="00323204"/>
    <w:pPr>
      <w:spacing w:after="0" w:line="240" w:lineRule="auto"/>
      <w:ind w:firstLine="709"/>
      <w:jc w:val="both"/>
    </w:pPr>
    <w:rPr>
      <w:rFonts w:ascii="Times New Roman" w:eastAsia="Calibri" w:hAnsi="Times New Roman" w:cs="Arial"/>
      <w:b/>
      <w:sz w:val="24"/>
      <w:lang w:val="en-US"/>
    </w:rPr>
  </w:style>
  <w:style w:type="character" w:styleId="BookTitle">
    <w:name w:val="Book Title"/>
    <w:uiPriority w:val="33"/>
    <w:qFormat/>
    <w:rsid w:val="00323204"/>
    <w:rPr>
      <w:b/>
      <w:bCs/>
      <w:smallCaps/>
      <w:spacing w:val="5"/>
    </w:rPr>
  </w:style>
  <w:style w:type="paragraph" w:styleId="BlockText">
    <w:name w:val="Block Text"/>
    <w:basedOn w:val="Normal"/>
    <w:rsid w:val="00323204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323204"/>
  </w:style>
  <w:style w:type="character" w:customStyle="1" w:styleId="a0">
    <w:name w:val="Сноска_"/>
    <w:link w:val="a1"/>
    <w:rsid w:val="00323204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323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323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323204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323204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32320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3232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323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323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323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323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323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323204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323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32320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3232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323204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323204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323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323204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323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323204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323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323204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323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323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323204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323204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323204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323204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323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3232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323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323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32320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3232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323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323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323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323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323204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3232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323204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323204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323204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323204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323204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323204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323204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323204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323204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323204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323204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323204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323204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323204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323204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323204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23204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323204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323204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323204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323204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323204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323204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323204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323204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323204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323204"/>
    <w:rPr>
      <w:vertAlign w:val="superscript"/>
    </w:rPr>
  </w:style>
  <w:style w:type="character" w:customStyle="1" w:styleId="FontStyle30">
    <w:name w:val="Font Style30"/>
    <w:uiPriority w:val="99"/>
    <w:rsid w:val="00323204"/>
    <w:rPr>
      <w:rFonts w:ascii="Times New Roman" w:hAnsi="Times New Roman" w:cs="Times New Roman"/>
      <w:spacing w:val="10"/>
      <w:sz w:val="24"/>
      <w:szCs w:val="24"/>
    </w:rPr>
  </w:style>
  <w:style w:type="table" w:customStyle="1" w:styleId="GrilTabel1">
    <w:name w:val="Grilă Tabel1"/>
    <w:basedOn w:val="TableNormal"/>
    <w:next w:val="TableGrid"/>
    <w:uiPriority w:val="39"/>
    <w:rsid w:val="00323204"/>
    <w:pPr>
      <w:spacing w:after="0" w:line="240" w:lineRule="auto"/>
    </w:pPr>
    <w:rPr>
      <w:rFonts w:ascii="Calibri" w:eastAsia="Calibri" w:hAnsi="Calibri" w:cs="Arial"/>
      <w:szCs w:val="20"/>
      <w:lang w:val="ru-RU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TableNormal"/>
    <w:next w:val="TableGrid"/>
    <w:uiPriority w:val="39"/>
    <w:rsid w:val="00323204"/>
    <w:pPr>
      <w:spacing w:after="0" w:line="240" w:lineRule="auto"/>
    </w:pPr>
    <w:rPr>
      <w:rFonts w:ascii="Calibri" w:eastAsia="Calibri" w:hAnsi="Calibri" w:cs="Arial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www.mf.gov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5972</Words>
  <Characters>34043</Characters>
  <Application>Microsoft Office Word</Application>
  <DocSecurity>0</DocSecurity>
  <Lines>283</Lines>
  <Paragraphs>79</Paragraphs>
  <ScaleCrop>false</ScaleCrop>
  <Company/>
  <LinksUpToDate>false</LinksUpToDate>
  <CharactersWithSpaces>39936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2019-01-09T11:32:00Z</dcterms:created>
  <dcterms:modified xsi:type="dcterms:W3CDTF">2019-01-09T11:34:00Z</dcterms:modified>
</cp:coreProperties>
</file>