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C0" w:rsidRPr="00595AC0" w:rsidRDefault="00595AC0" w:rsidP="00595AC0">
      <w:pPr>
        <w:spacing w:line="240" w:lineRule="auto"/>
        <w:ind w:left="5664" w:firstLine="720"/>
        <w:jc w:val="center"/>
        <w:rPr>
          <w:iCs/>
          <w:sz w:val="24"/>
          <w:szCs w:val="24"/>
          <w:lang w:val="ro-MO" w:eastAsia="ru-RU"/>
        </w:rPr>
      </w:pPr>
      <w:r w:rsidRPr="00595AC0">
        <w:rPr>
          <w:sz w:val="24"/>
          <w:szCs w:val="24"/>
          <w:lang w:val="ro-MO" w:eastAsia="ru-RU"/>
        </w:rPr>
        <w:t xml:space="preserve">    </w:t>
      </w:r>
      <w:r w:rsidRPr="00595AC0">
        <w:rPr>
          <w:iCs/>
          <w:sz w:val="24"/>
          <w:szCs w:val="24"/>
          <w:lang w:val="ro-MO" w:eastAsia="ru-RU"/>
        </w:rPr>
        <w:t xml:space="preserve">      Anexa nr. 7</w:t>
      </w:r>
    </w:p>
    <w:p w:rsidR="00595AC0" w:rsidRPr="00595AC0" w:rsidRDefault="00595AC0" w:rsidP="00595AC0">
      <w:pPr>
        <w:spacing w:line="240" w:lineRule="auto"/>
        <w:ind w:firstLine="720"/>
        <w:jc w:val="right"/>
        <w:rPr>
          <w:iCs/>
          <w:sz w:val="24"/>
          <w:szCs w:val="24"/>
          <w:lang w:val="ro-MO" w:eastAsia="ru-RU"/>
        </w:rPr>
      </w:pPr>
    </w:p>
    <w:p w:rsidR="00595AC0" w:rsidRPr="00595AC0" w:rsidRDefault="00595AC0" w:rsidP="00595AC0">
      <w:pPr>
        <w:spacing w:line="240" w:lineRule="auto"/>
        <w:jc w:val="center"/>
        <w:rPr>
          <w:b/>
          <w:iCs/>
          <w:sz w:val="24"/>
          <w:szCs w:val="24"/>
          <w:lang w:val="ro-MO" w:eastAsia="ru-RU"/>
        </w:rPr>
      </w:pPr>
      <w:r w:rsidRPr="00595AC0">
        <w:rPr>
          <w:b/>
          <w:iCs/>
          <w:sz w:val="24"/>
          <w:szCs w:val="24"/>
          <w:lang w:val="ro-MO" w:eastAsia="ru-RU"/>
        </w:rPr>
        <w:t>INDICAREA CANTITATIVĂ A INGREDIENTELOR</w:t>
      </w:r>
    </w:p>
    <w:p w:rsidR="00595AC0" w:rsidRPr="00595AC0" w:rsidRDefault="00595AC0" w:rsidP="00595AC0">
      <w:pPr>
        <w:spacing w:line="240" w:lineRule="auto"/>
        <w:ind w:firstLine="720"/>
        <w:jc w:val="both"/>
        <w:rPr>
          <w:iCs/>
          <w:sz w:val="24"/>
          <w:szCs w:val="24"/>
          <w:lang w:val="ro-MO" w:eastAsia="ru-RU"/>
        </w:rPr>
      </w:pPr>
    </w:p>
    <w:p w:rsidR="00595AC0" w:rsidRPr="00595AC0" w:rsidRDefault="00595AC0" w:rsidP="00595AC0">
      <w:pPr>
        <w:spacing w:line="240" w:lineRule="auto"/>
        <w:ind w:firstLine="720"/>
        <w:jc w:val="both"/>
        <w:rPr>
          <w:iCs/>
          <w:sz w:val="24"/>
          <w:szCs w:val="24"/>
          <w:lang w:val="ro-MO" w:eastAsia="ru-RU"/>
        </w:rPr>
      </w:pPr>
      <w:r w:rsidRPr="00595AC0">
        <w:rPr>
          <w:iCs/>
          <w:sz w:val="24"/>
          <w:szCs w:val="24"/>
          <w:lang w:val="ro-MO" w:eastAsia="ru-RU"/>
        </w:rPr>
        <w:t>1. Nu este necesară indicarea cantitativă:</w:t>
      </w:r>
    </w:p>
    <w:p w:rsidR="00595AC0" w:rsidRPr="00595AC0" w:rsidRDefault="00595AC0" w:rsidP="00595AC0">
      <w:pPr>
        <w:spacing w:line="240" w:lineRule="auto"/>
        <w:ind w:firstLine="720"/>
        <w:jc w:val="both"/>
        <w:rPr>
          <w:iCs/>
          <w:sz w:val="24"/>
          <w:szCs w:val="24"/>
          <w:lang w:val="ro-MO" w:eastAsia="ru-RU"/>
        </w:rPr>
      </w:pPr>
      <w:r w:rsidRPr="00595AC0">
        <w:rPr>
          <w:iCs/>
          <w:sz w:val="24"/>
          <w:szCs w:val="24"/>
          <w:lang w:val="ro-MO" w:eastAsia="ru-RU"/>
        </w:rPr>
        <w:t>a) pentru un ingredient sau o categorie de ingrediente:</w:t>
      </w:r>
    </w:p>
    <w:p w:rsidR="00595AC0" w:rsidRPr="00595AC0" w:rsidRDefault="00595AC0" w:rsidP="00595AC0">
      <w:pPr>
        <w:spacing w:line="240" w:lineRule="auto"/>
        <w:ind w:firstLine="720"/>
        <w:jc w:val="both"/>
        <w:rPr>
          <w:iCs/>
          <w:sz w:val="24"/>
          <w:szCs w:val="24"/>
          <w:lang w:val="ro-MO" w:eastAsia="ru-RU"/>
        </w:rPr>
      </w:pPr>
      <w:r w:rsidRPr="00595AC0">
        <w:rPr>
          <w:iCs/>
          <w:sz w:val="24"/>
          <w:szCs w:val="24"/>
          <w:lang w:val="ro-MO" w:eastAsia="ru-RU"/>
        </w:rPr>
        <w:t>– a căror cantitate netă după scurgere este indicată în conformitate cu pct. 5 din anexa nr. 8;</w:t>
      </w:r>
    </w:p>
    <w:p w:rsidR="00595AC0" w:rsidRPr="00595AC0" w:rsidRDefault="00595AC0" w:rsidP="00595AC0">
      <w:pPr>
        <w:spacing w:line="240" w:lineRule="auto"/>
        <w:ind w:firstLine="720"/>
        <w:jc w:val="both"/>
        <w:rPr>
          <w:iCs/>
          <w:sz w:val="24"/>
          <w:szCs w:val="24"/>
          <w:lang w:val="ro-MO" w:eastAsia="ru-RU"/>
        </w:rPr>
      </w:pPr>
      <w:r w:rsidRPr="00595AC0">
        <w:rPr>
          <w:iCs/>
          <w:sz w:val="24"/>
          <w:szCs w:val="24"/>
          <w:lang w:val="ro-MO" w:eastAsia="ru-RU"/>
        </w:rPr>
        <w:t>– a căror cantitate este obligatoriu să figureze deja pe etichetă;</w:t>
      </w:r>
    </w:p>
    <w:p w:rsidR="00595AC0" w:rsidRPr="00595AC0" w:rsidRDefault="00595AC0" w:rsidP="00595AC0">
      <w:pPr>
        <w:spacing w:line="240" w:lineRule="auto"/>
        <w:ind w:firstLine="720"/>
        <w:jc w:val="both"/>
        <w:rPr>
          <w:iCs/>
          <w:sz w:val="24"/>
          <w:szCs w:val="24"/>
          <w:lang w:val="ro-MO" w:eastAsia="ru-RU"/>
        </w:rPr>
      </w:pPr>
      <w:r w:rsidRPr="00595AC0">
        <w:rPr>
          <w:iCs/>
          <w:sz w:val="24"/>
          <w:szCs w:val="24"/>
          <w:lang w:val="ro-MO" w:eastAsia="ru-RU"/>
        </w:rPr>
        <w:t>– care sînt utilizate în doză mică în scopul aromatizării;</w:t>
      </w:r>
    </w:p>
    <w:p w:rsidR="00595AC0" w:rsidRPr="00595AC0" w:rsidRDefault="00595AC0" w:rsidP="00595AC0">
      <w:pPr>
        <w:spacing w:line="240" w:lineRule="auto"/>
        <w:ind w:firstLine="720"/>
        <w:jc w:val="both"/>
        <w:rPr>
          <w:iCs/>
          <w:sz w:val="24"/>
          <w:szCs w:val="24"/>
          <w:lang w:val="ro-MO" w:eastAsia="ru-RU"/>
        </w:rPr>
      </w:pPr>
      <w:r w:rsidRPr="00595AC0">
        <w:rPr>
          <w:iCs/>
          <w:sz w:val="24"/>
          <w:szCs w:val="24"/>
          <w:lang w:val="ro-MO" w:eastAsia="ru-RU"/>
        </w:rPr>
        <w:t>– care, deşi figurează în denumirea produsului alimentar, nu pot să influenţeze alegerea consumatorului deoarece variaţia de cantitate nu este esenţială pentru a caracteriza produsul alimentar sau de natură să îl diferenţieze de alte produse similare;</w:t>
      </w:r>
    </w:p>
    <w:p w:rsidR="00595AC0" w:rsidRPr="00595AC0" w:rsidRDefault="00595AC0" w:rsidP="00595AC0">
      <w:pPr>
        <w:spacing w:line="240" w:lineRule="auto"/>
        <w:ind w:firstLine="720"/>
        <w:jc w:val="both"/>
        <w:rPr>
          <w:iCs/>
          <w:sz w:val="24"/>
          <w:szCs w:val="24"/>
          <w:lang w:val="ro-MO" w:eastAsia="ru-RU"/>
        </w:rPr>
      </w:pPr>
      <w:r w:rsidRPr="00595AC0">
        <w:rPr>
          <w:iCs/>
          <w:sz w:val="24"/>
          <w:szCs w:val="24"/>
          <w:lang w:val="ro-MO" w:eastAsia="ru-RU"/>
        </w:rPr>
        <w:t>b) atunci cînd dispoziţiile specifice stipulează în mod precis cantitatea de ingredient sau categoria de ingrediente fără a prevedea indicarea lor pe etichetă;</w:t>
      </w:r>
    </w:p>
    <w:p w:rsidR="00595AC0" w:rsidRPr="00595AC0" w:rsidRDefault="00595AC0" w:rsidP="00595AC0">
      <w:pPr>
        <w:spacing w:line="240" w:lineRule="auto"/>
        <w:ind w:firstLine="720"/>
        <w:jc w:val="both"/>
        <w:rPr>
          <w:iCs/>
          <w:sz w:val="24"/>
          <w:szCs w:val="24"/>
          <w:lang w:val="ro-MO" w:eastAsia="ru-RU"/>
        </w:rPr>
      </w:pPr>
      <w:r w:rsidRPr="00595AC0">
        <w:rPr>
          <w:iCs/>
          <w:sz w:val="24"/>
          <w:szCs w:val="24"/>
          <w:lang w:val="ro-MO" w:eastAsia="ru-RU"/>
        </w:rPr>
        <w:t>c) în cazurile la care se face referire în anexa nr. 6 secţiunea 1 pct. 4 şi 5.</w:t>
      </w:r>
    </w:p>
    <w:p w:rsidR="00595AC0" w:rsidRPr="00595AC0" w:rsidRDefault="00595AC0" w:rsidP="00595AC0">
      <w:pPr>
        <w:spacing w:line="240" w:lineRule="auto"/>
        <w:ind w:firstLine="720"/>
        <w:jc w:val="both"/>
        <w:rPr>
          <w:iCs/>
          <w:sz w:val="24"/>
          <w:szCs w:val="24"/>
          <w:lang w:val="ro-MO" w:eastAsia="ru-RU"/>
        </w:rPr>
      </w:pPr>
    </w:p>
    <w:p w:rsidR="00595AC0" w:rsidRPr="00595AC0" w:rsidRDefault="00595AC0" w:rsidP="00595AC0">
      <w:pPr>
        <w:spacing w:line="240" w:lineRule="auto"/>
        <w:ind w:firstLine="720"/>
        <w:jc w:val="both"/>
        <w:rPr>
          <w:iCs/>
          <w:sz w:val="24"/>
          <w:szCs w:val="24"/>
          <w:lang w:val="ro-MO" w:eastAsia="ru-RU"/>
        </w:rPr>
      </w:pPr>
      <w:r w:rsidRPr="00595AC0">
        <w:rPr>
          <w:iCs/>
          <w:sz w:val="24"/>
          <w:szCs w:val="24"/>
          <w:lang w:val="ro-MO" w:eastAsia="ru-RU"/>
        </w:rPr>
        <w:t>2. Art. 20 alin. (1) lit. a) şi b) nu se aplică în cazul:</w:t>
      </w:r>
    </w:p>
    <w:p w:rsidR="00595AC0" w:rsidRPr="00595AC0" w:rsidRDefault="00595AC0" w:rsidP="00595AC0">
      <w:pPr>
        <w:spacing w:line="240" w:lineRule="auto"/>
        <w:ind w:firstLine="720"/>
        <w:jc w:val="both"/>
        <w:rPr>
          <w:iCs/>
          <w:sz w:val="24"/>
          <w:szCs w:val="24"/>
          <w:lang w:val="ro-MO" w:eastAsia="ru-RU"/>
        </w:rPr>
      </w:pPr>
      <w:r w:rsidRPr="00595AC0">
        <w:rPr>
          <w:iCs/>
          <w:sz w:val="24"/>
          <w:szCs w:val="24"/>
          <w:lang w:val="ro-MO" w:eastAsia="ru-RU"/>
        </w:rPr>
        <w:t>a) oricărui ingredient sau oricărei categorii de ingrediente cuprins(e) în indicaţia „cu îndulcitor(i)” sau „cu zahăr (zaharuri) şi îndulcitor(i)” în cazul în care respectiva indicaţie însoţeşte denumirea produsului alimentar în conformitate cu anexa nr. 2;</w:t>
      </w:r>
    </w:p>
    <w:p w:rsidR="00595AC0" w:rsidRPr="00595AC0" w:rsidRDefault="00595AC0" w:rsidP="00595AC0">
      <w:pPr>
        <w:spacing w:line="240" w:lineRule="auto"/>
        <w:ind w:firstLine="720"/>
        <w:jc w:val="both"/>
        <w:rPr>
          <w:iCs/>
          <w:sz w:val="24"/>
          <w:szCs w:val="24"/>
          <w:lang w:val="ro-MO" w:eastAsia="ru-RU"/>
        </w:rPr>
      </w:pPr>
      <w:r w:rsidRPr="00595AC0">
        <w:rPr>
          <w:iCs/>
          <w:sz w:val="24"/>
          <w:szCs w:val="24"/>
          <w:lang w:val="ro-MO" w:eastAsia="ru-RU"/>
        </w:rPr>
        <w:t>b) oricărei vitamine şi oricărui mineral adăugat(e) în cazul în care această substanţă face obiectul unei declaraţii nutriţionale.</w:t>
      </w:r>
    </w:p>
    <w:p w:rsidR="00595AC0" w:rsidRPr="00595AC0" w:rsidRDefault="00595AC0" w:rsidP="00595AC0">
      <w:pPr>
        <w:spacing w:line="240" w:lineRule="auto"/>
        <w:ind w:firstLine="720"/>
        <w:jc w:val="both"/>
        <w:rPr>
          <w:iCs/>
          <w:sz w:val="24"/>
          <w:szCs w:val="24"/>
          <w:lang w:val="ro-MO" w:eastAsia="ru-RU"/>
        </w:rPr>
      </w:pPr>
    </w:p>
    <w:p w:rsidR="00595AC0" w:rsidRPr="00595AC0" w:rsidRDefault="00595AC0" w:rsidP="00595AC0">
      <w:pPr>
        <w:spacing w:line="240" w:lineRule="auto"/>
        <w:ind w:firstLine="720"/>
        <w:jc w:val="both"/>
        <w:rPr>
          <w:iCs/>
          <w:sz w:val="24"/>
          <w:szCs w:val="24"/>
          <w:lang w:val="ro-MO" w:eastAsia="ru-RU"/>
        </w:rPr>
      </w:pPr>
      <w:r w:rsidRPr="00595AC0">
        <w:rPr>
          <w:iCs/>
          <w:sz w:val="24"/>
          <w:szCs w:val="24"/>
          <w:lang w:val="ro-MO" w:eastAsia="ru-RU"/>
        </w:rPr>
        <w:t>3. Indicarea cantităţii unui ingredient sau a unei categorii de ingrediente:</w:t>
      </w:r>
    </w:p>
    <w:p w:rsidR="00595AC0" w:rsidRPr="00595AC0" w:rsidRDefault="00595AC0" w:rsidP="00595AC0">
      <w:pPr>
        <w:spacing w:line="240" w:lineRule="auto"/>
        <w:ind w:firstLine="720"/>
        <w:jc w:val="both"/>
        <w:rPr>
          <w:iCs/>
          <w:sz w:val="24"/>
          <w:szCs w:val="24"/>
          <w:lang w:val="ro-MO" w:eastAsia="ru-RU"/>
        </w:rPr>
      </w:pPr>
      <w:r w:rsidRPr="00595AC0">
        <w:rPr>
          <w:iCs/>
          <w:sz w:val="24"/>
          <w:szCs w:val="24"/>
          <w:lang w:val="ro-MO" w:eastAsia="ru-RU"/>
        </w:rPr>
        <w:t>a) este exprimată în procente care trebuie să corespundă cantităţii de ingredient sau de ingrediente în momentul utilizării acestuia/acestora; şi</w:t>
      </w:r>
    </w:p>
    <w:p w:rsidR="00595AC0" w:rsidRPr="00595AC0" w:rsidRDefault="00595AC0" w:rsidP="00595AC0">
      <w:pPr>
        <w:spacing w:line="240" w:lineRule="auto"/>
        <w:ind w:firstLine="720"/>
        <w:jc w:val="both"/>
        <w:rPr>
          <w:iCs/>
          <w:sz w:val="24"/>
          <w:szCs w:val="24"/>
          <w:lang w:val="ro-MO" w:eastAsia="ru-RU"/>
        </w:rPr>
      </w:pPr>
      <w:r w:rsidRPr="00595AC0">
        <w:rPr>
          <w:iCs/>
          <w:sz w:val="24"/>
          <w:szCs w:val="24"/>
          <w:lang w:val="ro-MO" w:eastAsia="ru-RU"/>
        </w:rPr>
        <w:t>b) apare în cadrul sau imediat lîngă denumirea produsului alimentar sau pe lista ingredientelor, lîngă ingredientul sau categoria de ingrediente în cauză.</w:t>
      </w:r>
    </w:p>
    <w:p w:rsidR="00595AC0" w:rsidRPr="00595AC0" w:rsidRDefault="00595AC0" w:rsidP="00595AC0">
      <w:pPr>
        <w:spacing w:line="240" w:lineRule="auto"/>
        <w:ind w:firstLine="720"/>
        <w:jc w:val="both"/>
        <w:rPr>
          <w:iCs/>
          <w:sz w:val="24"/>
          <w:szCs w:val="24"/>
          <w:lang w:val="ro-MO" w:eastAsia="ru-RU"/>
        </w:rPr>
      </w:pPr>
    </w:p>
    <w:p w:rsidR="00595AC0" w:rsidRPr="00595AC0" w:rsidRDefault="00595AC0" w:rsidP="00595AC0">
      <w:pPr>
        <w:spacing w:line="240" w:lineRule="auto"/>
        <w:ind w:firstLine="720"/>
        <w:jc w:val="both"/>
        <w:rPr>
          <w:iCs/>
          <w:sz w:val="24"/>
          <w:szCs w:val="24"/>
          <w:lang w:val="ro-MO" w:eastAsia="ru-RU"/>
        </w:rPr>
      </w:pPr>
      <w:r w:rsidRPr="00595AC0">
        <w:rPr>
          <w:iCs/>
          <w:sz w:val="24"/>
          <w:szCs w:val="24"/>
          <w:lang w:val="ro-MO" w:eastAsia="ru-RU"/>
        </w:rPr>
        <w:t>4. Prin derogare de la pct. 3:</w:t>
      </w:r>
    </w:p>
    <w:p w:rsidR="00595AC0" w:rsidRPr="00595AC0" w:rsidRDefault="00595AC0" w:rsidP="00595AC0">
      <w:pPr>
        <w:spacing w:line="240" w:lineRule="auto"/>
        <w:ind w:firstLine="720"/>
        <w:jc w:val="both"/>
        <w:rPr>
          <w:iCs/>
          <w:sz w:val="24"/>
          <w:szCs w:val="24"/>
          <w:lang w:val="ro-MO" w:eastAsia="ru-RU"/>
        </w:rPr>
      </w:pPr>
      <w:r w:rsidRPr="00595AC0">
        <w:rPr>
          <w:iCs/>
          <w:sz w:val="24"/>
          <w:szCs w:val="24"/>
          <w:lang w:val="ro-MO" w:eastAsia="ru-RU"/>
        </w:rPr>
        <w:t>a) în cazul în care produsele alimentare au suferit o pierdere de umiditate ca urmare a unui tratament termic sau de alt tip, cantitatea se exprimă în procente care trebuie să corespundă cantităţii de ingredient(e) utilizat(e) raportată la produsul finit, cu excepţia cazului în care această cantitate sau cantitatea totală a tuturor ingredientelor indicate pe etichetă depăşeşte 100%, caz în care cantitatea este indicată pe baza cantităţii ingredientului/ingredientelor utilizat(e) la prepararea a 100 g de produs finit;</w:t>
      </w:r>
    </w:p>
    <w:p w:rsidR="00595AC0" w:rsidRPr="00595AC0" w:rsidRDefault="00595AC0" w:rsidP="00595AC0">
      <w:pPr>
        <w:spacing w:line="240" w:lineRule="auto"/>
        <w:ind w:firstLine="720"/>
        <w:jc w:val="both"/>
        <w:rPr>
          <w:iCs/>
          <w:sz w:val="24"/>
          <w:szCs w:val="24"/>
          <w:lang w:val="ro-MO" w:eastAsia="ru-RU"/>
        </w:rPr>
      </w:pPr>
      <w:r w:rsidRPr="00595AC0">
        <w:rPr>
          <w:iCs/>
          <w:sz w:val="24"/>
          <w:szCs w:val="24"/>
          <w:lang w:val="ro-MO" w:eastAsia="ru-RU"/>
        </w:rPr>
        <w:t>b) cantitatea ingredientelor volatile este indicată în funcţie de cantitatea din produsul finit;</w:t>
      </w:r>
    </w:p>
    <w:p w:rsidR="00595AC0" w:rsidRPr="00595AC0" w:rsidRDefault="00595AC0" w:rsidP="00595AC0">
      <w:pPr>
        <w:spacing w:line="240" w:lineRule="auto"/>
        <w:ind w:firstLine="720"/>
        <w:jc w:val="both"/>
        <w:rPr>
          <w:iCs/>
          <w:sz w:val="24"/>
          <w:szCs w:val="24"/>
          <w:lang w:val="ro-MO" w:eastAsia="ru-RU"/>
        </w:rPr>
      </w:pPr>
      <w:r w:rsidRPr="00595AC0">
        <w:rPr>
          <w:iCs/>
          <w:sz w:val="24"/>
          <w:szCs w:val="24"/>
          <w:lang w:val="ro-MO" w:eastAsia="ru-RU"/>
        </w:rPr>
        <w:t>c) cantitatea de ingrediente utilizate într-o formă concentrată sau deshidratată şi reconstituite pe parcursul procesului de fabricaţie poate fi indicată în funcţie de cantitatea de dinainte de concentrare sau deshidratare;</w:t>
      </w:r>
    </w:p>
    <w:p w:rsidR="00595AC0" w:rsidRPr="00595AC0" w:rsidRDefault="00595AC0" w:rsidP="00595AC0">
      <w:pPr>
        <w:spacing w:line="240" w:lineRule="auto"/>
        <w:ind w:firstLine="720"/>
        <w:jc w:val="both"/>
        <w:rPr>
          <w:iCs/>
          <w:sz w:val="24"/>
          <w:szCs w:val="24"/>
          <w:lang w:val="ro-MO" w:eastAsia="ru-RU"/>
        </w:rPr>
      </w:pPr>
      <w:r w:rsidRPr="00595AC0">
        <w:rPr>
          <w:iCs/>
          <w:sz w:val="24"/>
          <w:szCs w:val="24"/>
          <w:lang w:val="ro-MO" w:eastAsia="ru-RU"/>
        </w:rPr>
        <w:t>d) în cazul produselor alimentare concentrate sau deshidratate care urmează a fi reconstituite prin adăugarea de apă, cantitatea de ingrediente poate fi indicată în funcţie de cantitatea din produsul reconstituit.</w:t>
      </w:r>
    </w:p>
    <w:p w:rsidR="00595AC0" w:rsidRPr="00595AC0" w:rsidRDefault="00595AC0" w:rsidP="00595AC0">
      <w:pPr>
        <w:spacing w:line="240" w:lineRule="auto"/>
        <w:ind w:firstLine="720"/>
        <w:rPr>
          <w:iCs/>
          <w:sz w:val="24"/>
          <w:szCs w:val="24"/>
          <w:lang w:val="ro-MO" w:eastAsia="ru-RU"/>
        </w:rPr>
      </w:pPr>
    </w:p>
    <w:p w:rsidR="008B6A18" w:rsidRPr="00595AC0" w:rsidRDefault="008B6A18">
      <w:pPr>
        <w:rPr>
          <w:sz w:val="24"/>
          <w:szCs w:val="24"/>
          <w:lang w:val="ro-MO"/>
        </w:rPr>
      </w:pPr>
    </w:p>
    <w:sectPr w:rsidR="008B6A18" w:rsidRPr="00595AC0" w:rsidSect="00595AC0">
      <w:headerReference w:type="default" r:id="rId6"/>
      <w:pgSz w:w="11907" w:h="16840" w:code="9"/>
      <w:pgMar w:top="993" w:right="567" w:bottom="1418" w:left="1985"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F3E" w:rsidRDefault="00AB4F3E" w:rsidP="00595AC0">
      <w:pPr>
        <w:spacing w:line="240" w:lineRule="auto"/>
      </w:pPr>
      <w:r>
        <w:separator/>
      </w:r>
    </w:p>
  </w:endnote>
  <w:endnote w:type="continuationSeparator" w:id="1">
    <w:p w:rsidR="00AB4F3E" w:rsidRDefault="00AB4F3E" w:rsidP="00595A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F3E" w:rsidRDefault="00AB4F3E" w:rsidP="00595AC0">
      <w:pPr>
        <w:spacing w:line="240" w:lineRule="auto"/>
      </w:pPr>
      <w:r>
        <w:separator/>
      </w:r>
    </w:p>
  </w:footnote>
  <w:footnote w:type="continuationSeparator" w:id="1">
    <w:p w:rsidR="00AB4F3E" w:rsidRDefault="00AB4F3E" w:rsidP="00595AC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715" w:rsidRPr="00896CBD" w:rsidRDefault="00AB4F3E" w:rsidP="00896CBD">
    <w:pPr>
      <w:pStyle w:val="Header"/>
      <w:ind w:firstLine="0"/>
      <w:jc w:val="center"/>
      <w:rPr>
        <w:sz w:val="28"/>
        <w:szCs w:val="28"/>
      </w:rPr>
    </w:pPr>
    <w:r w:rsidRPr="00896CBD">
      <w:rPr>
        <w:sz w:val="28"/>
        <w:szCs w:val="28"/>
      </w:rPr>
      <w:fldChar w:fldCharType="begin"/>
    </w:r>
    <w:r w:rsidRPr="00896CBD">
      <w:rPr>
        <w:sz w:val="28"/>
        <w:szCs w:val="28"/>
      </w:rPr>
      <w:instrText>PAGE   \* MERGEFORMAT</w:instrText>
    </w:r>
    <w:r w:rsidRPr="00896CBD">
      <w:rPr>
        <w:sz w:val="28"/>
        <w:szCs w:val="28"/>
      </w:rPr>
      <w:fldChar w:fldCharType="separate"/>
    </w:r>
    <w:r w:rsidR="00595AC0" w:rsidRPr="00595AC0">
      <w:rPr>
        <w:noProof/>
        <w:sz w:val="28"/>
        <w:szCs w:val="28"/>
        <w:lang w:val="ro-RO"/>
      </w:rPr>
      <w:t>2</w:t>
    </w:r>
    <w:r w:rsidRPr="00896CBD">
      <w:rPr>
        <w:noProof/>
        <w:sz w:val="28"/>
        <w:szCs w:val="28"/>
        <w:lang w:val="ro-RO"/>
      </w:rPr>
      <w:fldChar w:fldCharType="end"/>
    </w:r>
  </w:p>
  <w:p w:rsidR="00780B32" w:rsidRPr="00780B32" w:rsidRDefault="00AB4F3E" w:rsidP="00780B32">
    <w:pPr>
      <w:pStyle w:val="Header"/>
      <w:jc w:val="right"/>
      <w:rPr>
        <w:sz w:val="28"/>
        <w:szCs w:val="28"/>
        <w:lang w:val="ro-R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footnotePr>
    <w:footnote w:id="0"/>
    <w:footnote w:id="1"/>
  </w:footnotePr>
  <w:endnotePr>
    <w:endnote w:id="0"/>
    <w:endnote w:id="1"/>
  </w:endnotePr>
  <w:compat/>
  <w:rsids>
    <w:rsidRoot w:val="00595AC0"/>
    <w:rsid w:val="00595AC0"/>
    <w:rsid w:val="008B6A18"/>
    <w:rsid w:val="00AB4F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C0"/>
    <w:pPr>
      <w:spacing w:after="0"/>
    </w:pPr>
    <w:rPr>
      <w:rFonts w:ascii="Times New Roman" w:eastAsia="Calibri" w:hAnsi="Times New Roman" w:cs="Times New Roman"/>
      <w:sz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5AC0"/>
    <w:pPr>
      <w:tabs>
        <w:tab w:val="center" w:pos="4677"/>
        <w:tab w:val="right" w:pos="9355"/>
      </w:tabs>
      <w:spacing w:line="240" w:lineRule="auto"/>
      <w:ind w:firstLine="720"/>
      <w:jc w:val="both"/>
    </w:pPr>
    <w:rPr>
      <w:rFonts w:eastAsia="Times New Roman"/>
      <w:sz w:val="20"/>
      <w:szCs w:val="20"/>
      <w:lang w:val="en-US"/>
    </w:rPr>
  </w:style>
  <w:style w:type="character" w:customStyle="1" w:styleId="HeaderChar">
    <w:name w:val="Header Char"/>
    <w:basedOn w:val="DefaultParagraphFont"/>
    <w:link w:val="Header"/>
    <w:uiPriority w:val="99"/>
    <w:rsid w:val="00595AC0"/>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595AC0"/>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595AC0"/>
    <w:rPr>
      <w:rFonts w:ascii="Times New Roman" w:eastAsia="Calibri" w:hAnsi="Times New Roman" w:cs="Times New Roman"/>
      <w:sz w:val="28"/>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2018-01-12T14:18:00Z</dcterms:created>
  <dcterms:modified xsi:type="dcterms:W3CDTF">2018-01-12T14:18:00Z</dcterms:modified>
</cp:coreProperties>
</file>