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A6" w:rsidRPr="00AD34A6" w:rsidRDefault="00AD34A6" w:rsidP="00AD34A6">
      <w:pPr>
        <w:spacing w:line="240" w:lineRule="auto"/>
        <w:ind w:firstLine="720"/>
        <w:jc w:val="center"/>
        <w:rPr>
          <w:iCs/>
          <w:sz w:val="24"/>
          <w:szCs w:val="24"/>
          <w:lang w:val="ro-MO" w:eastAsia="ru-RU"/>
        </w:rPr>
      </w:pPr>
      <w:r w:rsidRPr="00AD34A6">
        <w:rPr>
          <w:iCs/>
          <w:sz w:val="24"/>
          <w:szCs w:val="24"/>
          <w:lang w:val="ro-MO" w:eastAsia="ru-RU"/>
        </w:rPr>
        <w:t xml:space="preserve">           </w:t>
      </w:r>
      <w:r w:rsidRPr="00AD34A6">
        <w:rPr>
          <w:iCs/>
          <w:sz w:val="24"/>
          <w:szCs w:val="24"/>
          <w:lang w:val="ro-MO" w:eastAsia="ru-RU"/>
        </w:rPr>
        <w:tab/>
      </w:r>
      <w:r w:rsidRPr="00AD34A6">
        <w:rPr>
          <w:iCs/>
          <w:sz w:val="24"/>
          <w:szCs w:val="24"/>
          <w:lang w:val="ro-MO" w:eastAsia="ru-RU"/>
        </w:rPr>
        <w:tab/>
      </w:r>
      <w:r w:rsidRPr="00AD34A6">
        <w:rPr>
          <w:iCs/>
          <w:sz w:val="24"/>
          <w:szCs w:val="24"/>
          <w:lang w:val="ro-MO" w:eastAsia="ru-RU"/>
        </w:rPr>
        <w:tab/>
      </w:r>
      <w:r w:rsidRPr="00AD34A6">
        <w:rPr>
          <w:iCs/>
          <w:sz w:val="24"/>
          <w:szCs w:val="24"/>
          <w:lang w:val="ro-MO" w:eastAsia="ru-RU"/>
        </w:rPr>
        <w:tab/>
      </w:r>
      <w:r w:rsidRPr="00AD34A6">
        <w:rPr>
          <w:iCs/>
          <w:sz w:val="24"/>
          <w:szCs w:val="24"/>
          <w:lang w:val="ro-MO" w:eastAsia="ru-RU"/>
        </w:rPr>
        <w:tab/>
      </w:r>
      <w:r w:rsidRPr="00AD34A6">
        <w:rPr>
          <w:iCs/>
          <w:sz w:val="24"/>
          <w:szCs w:val="24"/>
          <w:lang w:val="ro-MO" w:eastAsia="ru-RU"/>
        </w:rPr>
        <w:tab/>
        <w:t xml:space="preserve">     </w:t>
      </w:r>
      <w:r w:rsidRPr="00AD34A6">
        <w:rPr>
          <w:iCs/>
          <w:sz w:val="24"/>
          <w:szCs w:val="24"/>
          <w:lang w:val="ro-MO" w:eastAsia="ru-RU"/>
        </w:rPr>
        <w:tab/>
        <w:t>Anexa nr. 9</w:t>
      </w:r>
    </w:p>
    <w:p w:rsidR="00AD34A6" w:rsidRPr="00AD34A6" w:rsidRDefault="00AD34A6" w:rsidP="00AD34A6">
      <w:pPr>
        <w:spacing w:line="240" w:lineRule="auto"/>
        <w:ind w:firstLine="720"/>
        <w:rPr>
          <w:iCs/>
          <w:sz w:val="24"/>
          <w:szCs w:val="24"/>
          <w:lang w:val="ro-MO" w:eastAsia="ru-RU"/>
        </w:rPr>
      </w:pPr>
    </w:p>
    <w:p w:rsidR="00AD34A6" w:rsidRPr="00AD34A6" w:rsidRDefault="00AD34A6" w:rsidP="00AD34A6">
      <w:pPr>
        <w:spacing w:line="240" w:lineRule="auto"/>
        <w:jc w:val="center"/>
        <w:rPr>
          <w:b/>
          <w:iCs/>
          <w:sz w:val="24"/>
          <w:szCs w:val="24"/>
          <w:lang w:val="ro-MO" w:eastAsia="ru-RU"/>
        </w:rPr>
      </w:pPr>
      <w:r w:rsidRPr="00AD34A6">
        <w:rPr>
          <w:b/>
          <w:iCs/>
          <w:sz w:val="24"/>
          <w:szCs w:val="24"/>
          <w:lang w:val="ro-MO" w:eastAsia="ru-RU"/>
        </w:rPr>
        <w:t xml:space="preserve">DATA DURABILITĂŢII MINIMALE, </w:t>
      </w:r>
    </w:p>
    <w:p w:rsidR="00AD34A6" w:rsidRPr="00AD34A6" w:rsidRDefault="00AD34A6" w:rsidP="00AD34A6">
      <w:pPr>
        <w:spacing w:line="240" w:lineRule="auto"/>
        <w:jc w:val="center"/>
        <w:rPr>
          <w:b/>
          <w:iCs/>
          <w:sz w:val="24"/>
          <w:szCs w:val="24"/>
          <w:lang w:val="ro-MO" w:eastAsia="ru-RU"/>
        </w:rPr>
      </w:pPr>
      <w:r w:rsidRPr="00AD34A6">
        <w:rPr>
          <w:b/>
          <w:iCs/>
          <w:sz w:val="24"/>
          <w:szCs w:val="24"/>
          <w:lang w:val="ro-MO" w:eastAsia="ru-RU"/>
        </w:rPr>
        <w:t>DATA-LIMITĂ DE CONSUM,</w:t>
      </w:r>
      <w:r w:rsidRPr="00AD34A6">
        <w:rPr>
          <w:rFonts w:eastAsia="Times New Roman"/>
          <w:b/>
          <w:sz w:val="24"/>
          <w:szCs w:val="24"/>
          <w:lang w:val="fr-FR" w:eastAsia="ro-RO"/>
        </w:rPr>
        <w:t xml:space="preserve"> </w:t>
      </w:r>
      <w:r w:rsidRPr="00AD34A6">
        <w:rPr>
          <w:b/>
          <w:iCs/>
          <w:sz w:val="24"/>
          <w:szCs w:val="24"/>
          <w:lang w:val="ro-MO" w:eastAsia="ru-RU"/>
        </w:rPr>
        <w:t>DATA CONGELĂRII</w:t>
      </w:r>
    </w:p>
    <w:p w:rsidR="00AD34A6" w:rsidRPr="00AD34A6" w:rsidRDefault="00AD34A6" w:rsidP="00AD34A6">
      <w:pPr>
        <w:spacing w:line="240" w:lineRule="auto"/>
        <w:ind w:firstLine="720"/>
        <w:jc w:val="both"/>
        <w:rPr>
          <w:iCs/>
          <w:sz w:val="24"/>
          <w:szCs w:val="24"/>
          <w:lang w:val="ro-MO" w:eastAsia="ru-RU"/>
        </w:rPr>
      </w:pPr>
    </w:p>
    <w:p w:rsidR="00AD34A6" w:rsidRPr="00AD34A6" w:rsidRDefault="00AD34A6" w:rsidP="00AD34A6">
      <w:pPr>
        <w:spacing w:line="240" w:lineRule="auto"/>
        <w:ind w:left="708"/>
        <w:rPr>
          <w:iCs/>
          <w:sz w:val="24"/>
          <w:szCs w:val="24"/>
          <w:lang w:val="ro-MO" w:eastAsia="ru-RU"/>
        </w:rPr>
      </w:pPr>
      <w:r w:rsidRPr="00AD34A6">
        <w:rPr>
          <w:iCs/>
          <w:sz w:val="24"/>
          <w:szCs w:val="24"/>
          <w:lang w:val="ro-MO" w:eastAsia="ru-RU"/>
        </w:rPr>
        <w:t>1. Data durabilităţii minimale este indicată după cum urmează: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xml:space="preserve">a) este precedată de mențiunea: </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„A se consuma de preferinţă înainte de …”;</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b) menţiunea prevăzută la lit. a) este însoţită: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de data propriu-zisă; sau</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de o referire la locul în care data este indicată pe etichetă.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Dacă este necesar, menţiunile respective se completează cu indicaţii privind condiţiile de păstrare, a căror respectare asigură durabilitatea indicată;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c) data durabilităţii minimale constă în indicarea zilei, lunii şi a anului în formă necodificată;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d) sub rezerva actelor normative care stabilesc alte cerinţe cu privire la data durabilităţii minimale, menţionarea acesteia nu este impusă în cazul:</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fructelor şi legumelor proaspete, inclusiv cartofilor, care nu au fost curăţate, tăiate sau nu au făcut obiectul altui tratament similar; această derogare nu se aplică seminţelor încolţite şi altor produse similare, cum ar fi germenii de leguminoase;</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vinurilor, vinurilor licoroase, vinurilor spumoase, vinurilor aromatizate şi produselor similare obţinute din alte fructe decît strugurii, precum şi al băuturilor care corespund codurilor NC 2206 00 obţinute din struguri sau din must de struguri;</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băuturilor care conţin 10% sau mai mult alcool în volum;</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produselor de panificaţie şi de patiserie care, prin natura lor, sînt consumate în mod normal într-un răstimp de douăzeci şi patru de ore după fabricare;</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oţeturilor;</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sării de bucătărie;</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zahărului în stare solidă;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produselor zaharoase care constau aproape exclusiv din zaharuri aromatizate şi/sau colorate;</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gumelor de mestecat şi produselor similare de mestecat.</w:t>
      </w:r>
    </w:p>
    <w:p w:rsidR="00AD34A6" w:rsidRPr="00AD34A6" w:rsidRDefault="00AD34A6" w:rsidP="00AD34A6">
      <w:pPr>
        <w:spacing w:line="240" w:lineRule="auto"/>
        <w:ind w:firstLine="720"/>
        <w:jc w:val="both"/>
        <w:rPr>
          <w:iCs/>
          <w:sz w:val="24"/>
          <w:szCs w:val="24"/>
          <w:lang w:val="ro-MO" w:eastAsia="ru-RU"/>
        </w:rPr>
      </w:pP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2. Data-limită de consum este indicată după cum urmează: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a) este precedată de mențiunea „Expiră la …”;</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b) mențiunea prevăzută la lit. a) este însoţită: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de data propriu-zisă; sau</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de o referire la locul în care data este indicată pe etichetă.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Aceste menţiuni sînt urmate de o descriere a condiţiilor de păstrare care trebuie respectate;</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c) data-limită de consum constă în indicarea zilei, a lunii şi a anului în această ordine şi în formă necodificată;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d) data-limită de consum este indicată pe fiecare porţie preambalată individuală.</w:t>
      </w:r>
    </w:p>
    <w:p w:rsidR="00AD34A6" w:rsidRPr="00AD34A6" w:rsidRDefault="00AD34A6" w:rsidP="00AD34A6">
      <w:pPr>
        <w:autoSpaceDE w:val="0"/>
        <w:autoSpaceDN w:val="0"/>
        <w:adjustRightInd w:val="0"/>
        <w:spacing w:line="240" w:lineRule="auto"/>
        <w:jc w:val="both"/>
        <w:rPr>
          <w:iCs/>
          <w:sz w:val="24"/>
          <w:szCs w:val="24"/>
          <w:lang w:val="fr-FR" w:eastAsia="ru-RU"/>
        </w:rPr>
      </w:pP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3. Data congelării sau a primei congelări, așa cum este menţionată la pct. 6 din anexa nr. 2, se indică după cum urmează: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a) este precedată de menţiunea „Congelat la…”;</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b) mențiunea prevăzută la lit. a) este însoţită: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de data propriu-zisă; sau</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de o referire la locul în care este indicată data pe etichetă;</w:t>
      </w:r>
    </w:p>
    <w:p w:rsidR="00AD34A6" w:rsidRPr="00AD34A6" w:rsidRDefault="00AD34A6" w:rsidP="00AD34A6">
      <w:pPr>
        <w:spacing w:line="240" w:lineRule="auto"/>
        <w:ind w:firstLine="720"/>
        <w:jc w:val="both"/>
        <w:rPr>
          <w:iCs/>
          <w:sz w:val="24"/>
          <w:szCs w:val="24"/>
          <w:lang w:val="ro-MO" w:eastAsia="ru-RU"/>
        </w:rPr>
      </w:pPr>
      <w:r w:rsidRPr="00AD34A6">
        <w:rPr>
          <w:iCs/>
          <w:sz w:val="24"/>
          <w:szCs w:val="24"/>
          <w:lang w:val="ro-MO" w:eastAsia="ru-RU"/>
        </w:rPr>
        <w:t xml:space="preserve">c) data congelării constă în indicarea zilei, lunii şi a anului în această </w:t>
      </w:r>
      <w:r>
        <w:rPr>
          <w:iCs/>
          <w:sz w:val="24"/>
          <w:szCs w:val="24"/>
          <w:lang w:val="ro-MO" w:eastAsia="ru-RU"/>
        </w:rPr>
        <w:t>ordine şi în formă necodificată.</w:t>
      </w:r>
    </w:p>
    <w:p w:rsidR="00151D6C" w:rsidRPr="00AD34A6" w:rsidRDefault="00151D6C">
      <w:pPr>
        <w:rPr>
          <w:sz w:val="24"/>
          <w:szCs w:val="24"/>
          <w:lang w:val="ro-MO"/>
        </w:rPr>
      </w:pPr>
    </w:p>
    <w:sectPr w:rsidR="00151D6C" w:rsidRPr="00AD34A6" w:rsidSect="00AD34A6">
      <w:headerReference w:type="default" r:id="rId6"/>
      <w:pgSz w:w="11907" w:h="16840" w:code="9"/>
      <w:pgMar w:top="709" w:right="567" w:bottom="1418"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FF0" w:rsidRDefault="00210FF0" w:rsidP="00AD34A6">
      <w:pPr>
        <w:spacing w:line="240" w:lineRule="auto"/>
      </w:pPr>
      <w:r>
        <w:separator/>
      </w:r>
    </w:p>
  </w:endnote>
  <w:endnote w:type="continuationSeparator" w:id="1">
    <w:p w:rsidR="00210FF0" w:rsidRDefault="00210FF0" w:rsidP="00AD34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FF0" w:rsidRDefault="00210FF0" w:rsidP="00AD34A6">
      <w:pPr>
        <w:spacing w:line="240" w:lineRule="auto"/>
      </w:pPr>
      <w:r>
        <w:separator/>
      </w:r>
    </w:p>
  </w:footnote>
  <w:footnote w:type="continuationSeparator" w:id="1">
    <w:p w:rsidR="00210FF0" w:rsidRDefault="00210FF0" w:rsidP="00AD34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15" w:rsidRPr="00896CBD" w:rsidRDefault="00210FF0" w:rsidP="00896CBD">
    <w:pPr>
      <w:pStyle w:val="Header"/>
      <w:ind w:firstLine="0"/>
      <w:jc w:val="center"/>
      <w:rPr>
        <w:sz w:val="28"/>
        <w:szCs w:val="28"/>
      </w:rPr>
    </w:pPr>
    <w:r w:rsidRPr="00896CBD">
      <w:rPr>
        <w:sz w:val="28"/>
        <w:szCs w:val="28"/>
      </w:rPr>
      <w:fldChar w:fldCharType="begin"/>
    </w:r>
    <w:r w:rsidRPr="00896CBD">
      <w:rPr>
        <w:sz w:val="28"/>
        <w:szCs w:val="28"/>
      </w:rPr>
      <w:instrText>PAGE   \* MERGEFORMAT</w:instrText>
    </w:r>
    <w:r w:rsidRPr="00896CBD">
      <w:rPr>
        <w:sz w:val="28"/>
        <w:szCs w:val="28"/>
      </w:rPr>
      <w:fldChar w:fldCharType="separate"/>
    </w:r>
    <w:r w:rsidR="00AD34A6" w:rsidRPr="00AD34A6">
      <w:rPr>
        <w:noProof/>
        <w:sz w:val="28"/>
        <w:szCs w:val="28"/>
        <w:lang w:val="ro-RO"/>
      </w:rPr>
      <w:t>2</w:t>
    </w:r>
    <w:r w:rsidRPr="00896CBD">
      <w:rPr>
        <w:noProof/>
        <w:sz w:val="28"/>
        <w:szCs w:val="28"/>
        <w:lang w:val="ro-RO"/>
      </w:rPr>
      <w:fldChar w:fldCharType="end"/>
    </w:r>
  </w:p>
  <w:p w:rsidR="00390615" w:rsidRPr="00390615" w:rsidRDefault="00210FF0" w:rsidP="00390615">
    <w:pPr>
      <w:pStyle w:val="Header"/>
      <w:jc w:val="right"/>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AD34A6"/>
    <w:rsid w:val="00151D6C"/>
    <w:rsid w:val="00210FF0"/>
    <w:rsid w:val="00AD34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A6"/>
    <w:pPr>
      <w:spacing w:after="0"/>
    </w:pPr>
    <w:rPr>
      <w:rFonts w:ascii="Times New Roman" w:eastAsia="Calibri" w:hAnsi="Times New Roman" w:cs="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4A6"/>
    <w:pPr>
      <w:tabs>
        <w:tab w:val="center" w:pos="4677"/>
        <w:tab w:val="right" w:pos="9355"/>
      </w:tabs>
      <w:spacing w:line="240" w:lineRule="auto"/>
      <w:ind w:firstLine="720"/>
      <w:jc w:val="both"/>
    </w:pPr>
    <w:rPr>
      <w:rFonts w:eastAsia="Times New Roman"/>
      <w:sz w:val="20"/>
      <w:szCs w:val="20"/>
      <w:lang w:val="en-US"/>
    </w:rPr>
  </w:style>
  <w:style w:type="character" w:customStyle="1" w:styleId="HeaderChar">
    <w:name w:val="Header Char"/>
    <w:basedOn w:val="DefaultParagraphFont"/>
    <w:link w:val="Header"/>
    <w:uiPriority w:val="99"/>
    <w:rsid w:val="00AD34A6"/>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AD34A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D34A6"/>
    <w:rPr>
      <w:rFonts w:ascii="Times New Roman" w:eastAsia="Calibri" w:hAnsi="Times New Roman" w:cs="Times New Roman"/>
      <w:sz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2018-01-12T14:19:00Z</dcterms:created>
  <dcterms:modified xsi:type="dcterms:W3CDTF">2018-01-12T14:20:00Z</dcterms:modified>
</cp:coreProperties>
</file>