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0F" w:rsidRPr="00307D0F" w:rsidRDefault="00307D0F" w:rsidP="00645EBA">
      <w:pPr>
        <w:pStyle w:val="NormalWeb"/>
        <w:jc w:val="right"/>
        <w:rPr>
          <w:b/>
          <w:lang w:val="en-US"/>
        </w:rPr>
      </w:pPr>
      <w:r w:rsidRPr="00307D0F">
        <w:rPr>
          <w:b/>
          <w:lang w:val="en-US"/>
        </w:rPr>
        <w:t xml:space="preserve">                                                                                             Aprobat</w:t>
      </w:r>
      <w:r w:rsidR="00F93459">
        <w:rPr>
          <w:b/>
          <w:lang w:val="en-US"/>
        </w:rPr>
        <w:t>ă</w:t>
      </w:r>
      <w:bookmarkStart w:id="0" w:name="_GoBack"/>
      <w:bookmarkEnd w:id="0"/>
    </w:p>
    <w:p w:rsidR="00307D0F" w:rsidRPr="00307D0F" w:rsidRDefault="00307D0F" w:rsidP="00645EBA">
      <w:pPr>
        <w:pStyle w:val="NormalWeb"/>
        <w:tabs>
          <w:tab w:val="left" w:pos="6663"/>
        </w:tabs>
        <w:jc w:val="right"/>
        <w:rPr>
          <w:lang w:val="en-US"/>
        </w:rPr>
      </w:pPr>
      <w:r w:rsidRPr="00307D0F">
        <w:rPr>
          <w:lang w:val="en-US"/>
        </w:rPr>
        <w:t xml:space="preserve">prin Hotărârea Consiliului </w:t>
      </w:r>
    </w:p>
    <w:p w:rsidR="00307D0F" w:rsidRPr="00307D0F" w:rsidRDefault="00307D0F" w:rsidP="00645EBA">
      <w:pPr>
        <w:pStyle w:val="NormalWeb"/>
        <w:jc w:val="right"/>
        <w:rPr>
          <w:lang w:val="en-US"/>
        </w:rPr>
      </w:pPr>
      <w:r w:rsidRPr="00307D0F">
        <w:rPr>
          <w:lang w:val="en-US"/>
        </w:rPr>
        <w:t>de Administraţie al ANRE</w:t>
      </w:r>
    </w:p>
    <w:p w:rsidR="00307D0F" w:rsidRPr="00F93459" w:rsidRDefault="00307D0F" w:rsidP="00645EBA">
      <w:pPr>
        <w:pStyle w:val="NormalWeb"/>
        <w:jc w:val="right"/>
        <w:rPr>
          <w:lang w:val="en-US"/>
        </w:rPr>
      </w:pPr>
      <w:r w:rsidRPr="00307D0F">
        <w:rPr>
          <w:lang w:val="en-US"/>
        </w:rPr>
        <w:t xml:space="preserve">nr.  </w:t>
      </w:r>
      <w:r w:rsidR="00645EBA">
        <w:rPr>
          <w:lang w:val="en-US"/>
        </w:rPr>
        <w:t>64</w:t>
      </w:r>
      <w:r w:rsidRPr="00307D0F">
        <w:rPr>
          <w:lang w:val="en-US"/>
        </w:rPr>
        <w:t xml:space="preserve"> /201</w:t>
      </w:r>
      <w:r w:rsidRPr="00F93459">
        <w:rPr>
          <w:lang w:val="en-US"/>
        </w:rPr>
        <w:t>8</w:t>
      </w:r>
      <w:r w:rsidRPr="00307D0F">
        <w:rPr>
          <w:lang w:val="en-US"/>
        </w:rPr>
        <w:t xml:space="preserve"> din </w:t>
      </w:r>
      <w:r w:rsidRPr="00F93459">
        <w:rPr>
          <w:lang w:val="en-US"/>
        </w:rPr>
        <w:t>22</w:t>
      </w:r>
      <w:r w:rsidRPr="00307D0F">
        <w:rPr>
          <w:lang w:val="en-US"/>
        </w:rPr>
        <w:t>.</w:t>
      </w:r>
      <w:r w:rsidRPr="00F93459">
        <w:rPr>
          <w:lang w:val="en-US"/>
        </w:rPr>
        <w:t>02</w:t>
      </w:r>
      <w:r w:rsidRPr="00307D0F">
        <w:rPr>
          <w:lang w:val="en-US"/>
        </w:rPr>
        <w:t>.201</w:t>
      </w:r>
      <w:r w:rsidRPr="00F93459">
        <w:rPr>
          <w:lang w:val="en-US"/>
        </w:rPr>
        <w:t>8</w:t>
      </w:r>
    </w:p>
    <w:p w:rsidR="00307D0F" w:rsidRPr="00307D0F" w:rsidRDefault="00307D0F" w:rsidP="00307D0F">
      <w:pPr>
        <w:pStyle w:val="NormalWeb"/>
        <w:rPr>
          <w:b/>
          <w:lang w:val="en-US"/>
        </w:rPr>
      </w:pPr>
    </w:p>
    <w:p w:rsidR="00307D0F" w:rsidRPr="00307D0F" w:rsidRDefault="00307D0F">
      <w:pPr>
        <w:pStyle w:val="NormalWeb"/>
        <w:jc w:val="center"/>
        <w:rPr>
          <w:b/>
          <w:lang w:val="en-US"/>
        </w:rPr>
      </w:pPr>
    </w:p>
    <w:p w:rsidR="00307D0F" w:rsidRPr="00307D0F" w:rsidRDefault="00307D0F">
      <w:pPr>
        <w:pStyle w:val="NormalWeb"/>
        <w:jc w:val="center"/>
        <w:rPr>
          <w:b/>
          <w:lang w:val="en-US"/>
        </w:rPr>
      </w:pPr>
    </w:p>
    <w:p w:rsidR="00307D0F" w:rsidRPr="00307D0F" w:rsidRDefault="00307D0F">
      <w:pPr>
        <w:pStyle w:val="NormalWeb"/>
        <w:jc w:val="center"/>
        <w:rPr>
          <w:b/>
          <w:lang w:val="en-US"/>
        </w:rPr>
      </w:pPr>
    </w:p>
    <w:p w:rsidR="001C5006" w:rsidRDefault="00A92D31">
      <w:pPr>
        <w:pStyle w:val="NormalWeb"/>
        <w:jc w:val="center"/>
        <w:rPr>
          <w:b/>
        </w:rPr>
      </w:pPr>
      <w:r>
        <w:rPr>
          <w:b/>
        </w:rPr>
        <w:t>METODOLOGIA</w:t>
      </w:r>
    </w:p>
    <w:p w:rsidR="001C5006" w:rsidRDefault="00A92D31">
      <w:pPr>
        <w:pStyle w:val="cp"/>
      </w:pPr>
      <w:r>
        <w:t xml:space="preserve">de calculare, aprobare </w:t>
      </w:r>
      <w:r w:rsidR="00782F78">
        <w:t>ș</w:t>
      </w:r>
      <w:r w:rsidR="001C279C">
        <w:t xml:space="preserve">i </w:t>
      </w:r>
      <w:r w:rsidR="00C12526">
        <w:t xml:space="preserve">aplicare </w:t>
      </w:r>
      <w:r w:rsidR="001C279C">
        <w:t>a tarifelor pentru</w:t>
      </w:r>
    </w:p>
    <w:p w:rsidR="001C5006" w:rsidRDefault="00A92D31">
      <w:pPr>
        <w:pStyle w:val="cp"/>
      </w:pPr>
      <w:r>
        <w:t>serviciul de distribu</w:t>
      </w:r>
      <w:r w:rsidR="00782F78">
        <w:t>ț</w:t>
      </w:r>
      <w:r>
        <w:t xml:space="preserve">ie a energiei electrice </w:t>
      </w:r>
    </w:p>
    <w:p w:rsidR="001C5006" w:rsidRDefault="001C5006">
      <w:pPr>
        <w:pStyle w:val="NormalWeb"/>
      </w:pPr>
    </w:p>
    <w:p w:rsidR="001C5006" w:rsidRDefault="00A92D31">
      <w:pPr>
        <w:pStyle w:val="cp"/>
      </w:pPr>
      <w:r>
        <w:t>Sec</w:t>
      </w:r>
      <w:r w:rsidR="00782F78">
        <w:t>ț</w:t>
      </w:r>
      <w:r>
        <w:t>iunea 1</w:t>
      </w:r>
    </w:p>
    <w:p w:rsidR="001C5006" w:rsidRDefault="00A92D31">
      <w:pPr>
        <w:pStyle w:val="cp"/>
      </w:pPr>
      <w:r>
        <w:t>DISPOZI</w:t>
      </w:r>
      <w:r w:rsidR="00782F78">
        <w:t>Ț</w:t>
      </w:r>
      <w:r>
        <w:t>II GENERALE</w:t>
      </w:r>
    </w:p>
    <w:p w:rsidR="001C5006" w:rsidRDefault="00A92D31" w:rsidP="001C279C">
      <w:pPr>
        <w:pStyle w:val="NormalWeb"/>
        <w:spacing w:after="120"/>
      </w:pPr>
      <w:r>
        <w:rPr>
          <w:b/>
          <w:bCs/>
        </w:rPr>
        <w:t>1.</w:t>
      </w:r>
      <w:r>
        <w:t xml:space="preserve"> Metodologia de calculare, aprobare </w:t>
      </w:r>
      <w:r w:rsidR="00782F78">
        <w:t>ș</w:t>
      </w:r>
      <w:r>
        <w:t xml:space="preserve">i </w:t>
      </w:r>
      <w:r w:rsidR="00837DB5">
        <w:t xml:space="preserve">aplicare </w:t>
      </w:r>
      <w:r>
        <w:t>a tarifelor pentru serviciul de distribu</w:t>
      </w:r>
      <w:r w:rsidR="00782F78">
        <w:t>ț</w:t>
      </w:r>
      <w:r>
        <w:t>ie a energiei electrice (în continuare Metodologie) are ca scop stabilirea modului de calcul a tarifelor pentru serviciul de distribu</w:t>
      </w:r>
      <w:r w:rsidR="00782F78">
        <w:t>ț</w:t>
      </w:r>
      <w:r>
        <w:t>ie a energiei electrice prestat de către operatorii sistemelor de distribu</w:t>
      </w:r>
      <w:r w:rsidR="00782F78">
        <w:t>ț</w:t>
      </w:r>
      <w:r w:rsidR="001C279C">
        <w:t>ie (în continuare OSD).</w:t>
      </w:r>
    </w:p>
    <w:p w:rsidR="001C5006" w:rsidRDefault="00A92D31">
      <w:pPr>
        <w:pStyle w:val="NormalWeb"/>
      </w:pPr>
      <w:r>
        <w:rPr>
          <w:b/>
          <w:bCs/>
        </w:rPr>
        <w:t>2.</w:t>
      </w:r>
      <w:r>
        <w:t xml:space="preserve"> Metodologia stabile</w:t>
      </w:r>
      <w:r w:rsidR="00782F78">
        <w:t>ș</w:t>
      </w:r>
      <w:r>
        <w:t>te:</w:t>
      </w:r>
    </w:p>
    <w:p w:rsidR="001C5006" w:rsidRDefault="00A92D31">
      <w:pPr>
        <w:pStyle w:val="NormalWeb"/>
      </w:pPr>
      <w:r>
        <w:t xml:space="preserve">1) principiile, modul de calculare </w:t>
      </w:r>
      <w:r w:rsidR="00782F78">
        <w:t>ș</w:t>
      </w:r>
      <w:r>
        <w:t>i de ajustare a tarifelor pentru serviciul de distribu</w:t>
      </w:r>
      <w:r w:rsidR="00782F78">
        <w:t>ț</w:t>
      </w:r>
      <w:r>
        <w:t>ie a energiei electrice;</w:t>
      </w:r>
    </w:p>
    <w:p w:rsidR="001C5006" w:rsidRDefault="00A92D31">
      <w:pPr>
        <w:pStyle w:val="NormalWeb"/>
      </w:pPr>
      <w:r>
        <w:t xml:space="preserve">2) modul de calculare </w:t>
      </w:r>
      <w:r w:rsidR="00782F78">
        <w:t>ș</w:t>
      </w:r>
      <w:r>
        <w:t>i de aplicare a tarifelor diferen</w:t>
      </w:r>
      <w:r w:rsidR="00782F78">
        <w:t>ț</w:t>
      </w:r>
      <w:r>
        <w:t>iate în func</w:t>
      </w:r>
      <w:r w:rsidR="00782F78">
        <w:t>ț</w:t>
      </w:r>
      <w:r>
        <w:t>ie de nivelul de tensiune a re</w:t>
      </w:r>
      <w:r w:rsidR="00782F78">
        <w:t>ț</w:t>
      </w:r>
      <w:r>
        <w:t>elelor electrice la care sunt racordate instala</w:t>
      </w:r>
      <w:r w:rsidR="00782F78">
        <w:t>ț</w:t>
      </w:r>
      <w:r>
        <w:t>iile electrice ale consumatorilor finali;</w:t>
      </w:r>
    </w:p>
    <w:p w:rsidR="001C5006" w:rsidRDefault="00A92D31">
      <w:pPr>
        <w:pStyle w:val="NormalWeb"/>
      </w:pPr>
      <w:r>
        <w:t xml:space="preserve">3) componentele </w:t>
      </w:r>
      <w:r w:rsidR="00782F78">
        <w:t>ș</w:t>
      </w:r>
      <w:r w:rsidR="001C279C">
        <w:t>i modul de determinare a:</w:t>
      </w:r>
    </w:p>
    <w:p w:rsidR="001C5006" w:rsidRDefault="001C279C">
      <w:pPr>
        <w:pStyle w:val="NormalWeb"/>
      </w:pPr>
      <w:r>
        <w:t>a) costurilor materiale;</w:t>
      </w:r>
    </w:p>
    <w:p w:rsidR="001C5006" w:rsidRDefault="001C279C">
      <w:pPr>
        <w:pStyle w:val="NormalWeb"/>
      </w:pPr>
      <w:r>
        <w:t>b) costurilor cu personalul;</w:t>
      </w:r>
    </w:p>
    <w:p w:rsidR="001C5006" w:rsidRDefault="00A92D31">
      <w:pPr>
        <w:pStyle w:val="NormalWeb"/>
      </w:pPr>
      <w:r>
        <w:t xml:space="preserve">c) </w:t>
      </w:r>
      <w:r>
        <w:rPr>
          <w:bCs/>
          <w:lang w:val="ro-RO"/>
        </w:rPr>
        <w:t xml:space="preserve">amortizării imobilizărilor corporale </w:t>
      </w:r>
      <w:r w:rsidR="00782F78">
        <w:rPr>
          <w:bCs/>
          <w:lang w:val="ro-RO"/>
        </w:rPr>
        <w:t>ș</w:t>
      </w:r>
      <w:r>
        <w:rPr>
          <w:bCs/>
          <w:lang w:val="ro-RO"/>
        </w:rPr>
        <w:t>i necorporale</w:t>
      </w:r>
      <w:r>
        <w:t xml:space="preserve">, inclusiv în cazul reevaluării acestora, pentru a asigura ca imobilizările respective să nu fie depreciate mai mult de o dată </w:t>
      </w:r>
      <w:r w:rsidR="00782F78">
        <w:t>ș</w:t>
      </w:r>
      <w:r>
        <w:t xml:space="preserve">i pentru a exclude imobilizările care au </w:t>
      </w:r>
      <w:r w:rsidR="001C279C">
        <w:t>fost primite cu titlul gratuit;</w:t>
      </w:r>
    </w:p>
    <w:p w:rsidR="001C5006" w:rsidRDefault="00A92D31">
      <w:pPr>
        <w:pStyle w:val="NormalWeb"/>
      </w:pPr>
      <w:r>
        <w:t xml:space="preserve">d) costurilor aferente exploatării eficiente </w:t>
      </w:r>
      <w:r w:rsidR="00782F78">
        <w:t>ș</w:t>
      </w:r>
      <w:r>
        <w:t>i între</w:t>
      </w:r>
      <w:r w:rsidR="00782F78">
        <w:t>ț</w:t>
      </w:r>
      <w:r>
        <w:t>inerii obiectelor re</w:t>
      </w:r>
      <w:r w:rsidR="00782F78">
        <w:t>ț</w:t>
      </w:r>
      <w:r>
        <w:t>elelor electrice de distribu</w:t>
      </w:r>
      <w:r w:rsidR="00782F78">
        <w:t>ț</w:t>
      </w:r>
      <w:r>
        <w:t>ie;</w:t>
      </w:r>
    </w:p>
    <w:p w:rsidR="001C5006" w:rsidRDefault="00A92D31">
      <w:pPr>
        <w:pStyle w:val="NormalWeb"/>
      </w:pPr>
      <w:r>
        <w:t>e) costurilor aferente eviden</w:t>
      </w:r>
      <w:r w:rsidR="00782F78">
        <w:t>ț</w:t>
      </w:r>
      <w:r>
        <w:t>ei energiei electrice distribuite;</w:t>
      </w:r>
    </w:p>
    <w:p w:rsidR="001C5006" w:rsidRDefault="00A92D31">
      <w:pPr>
        <w:pStyle w:val="NormalWeb"/>
      </w:pPr>
      <w:r>
        <w:t xml:space="preserve">f) costurilor aferente procurărilor de energie electrică în scopul acoperirii nivelului rezonabil </w:t>
      </w:r>
      <w:r w:rsidR="00782F78">
        <w:t>ș</w:t>
      </w:r>
      <w:r>
        <w:t xml:space="preserve">i justificat al consumului tehnologic </w:t>
      </w:r>
      <w:r w:rsidR="00782F78">
        <w:t>ș</w:t>
      </w:r>
      <w:r>
        <w:t>i al pierderilor de energie electrică în re</w:t>
      </w:r>
      <w:r w:rsidR="00782F78">
        <w:t>ț</w:t>
      </w:r>
      <w:r>
        <w:t>elele electrice de distribu</w:t>
      </w:r>
      <w:r w:rsidR="00782F78">
        <w:t>ț</w:t>
      </w:r>
      <w:r>
        <w:t>ie;</w:t>
      </w:r>
    </w:p>
    <w:p w:rsidR="001C5006" w:rsidRDefault="00A92D31">
      <w:pPr>
        <w:pStyle w:val="NormalWeb"/>
      </w:pPr>
      <w:r>
        <w:t xml:space="preserve">g) cheltuielilor de distribuire </w:t>
      </w:r>
      <w:r w:rsidR="00782F78">
        <w:t>ș</w:t>
      </w:r>
      <w:r>
        <w:t xml:space="preserve">i administrative; </w:t>
      </w:r>
    </w:p>
    <w:p w:rsidR="001C5006" w:rsidRDefault="00A92D31">
      <w:pPr>
        <w:pStyle w:val="NormalWeb"/>
      </w:pPr>
      <w:r>
        <w:t>h) altor cheltuieli aferente activită</w:t>
      </w:r>
      <w:r w:rsidR="00782F78">
        <w:t>ț</w:t>
      </w:r>
      <w:r>
        <w:t>ii de distribu</w:t>
      </w:r>
      <w:r w:rsidR="00782F78">
        <w:t>ț</w:t>
      </w:r>
      <w:r>
        <w:t xml:space="preserve">ie a energiei electrice; </w:t>
      </w:r>
    </w:p>
    <w:p w:rsidR="001C5006" w:rsidRDefault="00A92D31">
      <w:pPr>
        <w:pStyle w:val="NormalWeb"/>
      </w:pPr>
      <w:r>
        <w:t>4) modul de determinare a rentabilită</w:t>
      </w:r>
      <w:r w:rsidR="00782F78">
        <w:t>ț</w:t>
      </w:r>
      <w:r>
        <w:t>ii imobilizărilor de distribu</w:t>
      </w:r>
      <w:r w:rsidR="00782F78">
        <w:t>ț</w:t>
      </w:r>
      <w:r>
        <w:t>ie;</w:t>
      </w:r>
    </w:p>
    <w:p w:rsidR="001C5006" w:rsidRDefault="00A92D31">
      <w:pPr>
        <w:pStyle w:val="NormalWeb"/>
      </w:pPr>
      <w:r>
        <w:t>5) principiile generale de efectuare a investi</w:t>
      </w:r>
      <w:r w:rsidR="00782F78">
        <w:t>ț</w:t>
      </w:r>
      <w:r>
        <w:t xml:space="preserve">iilor în sectorul electroenergetic </w:t>
      </w:r>
      <w:r w:rsidR="00782F78">
        <w:t>ș</w:t>
      </w:r>
      <w:r>
        <w:t xml:space="preserve">i modul de recuperare a acestora prin tarif; </w:t>
      </w:r>
    </w:p>
    <w:p w:rsidR="001C5006" w:rsidRDefault="00A92D31">
      <w:pPr>
        <w:pStyle w:val="NormalWeb"/>
      </w:pPr>
      <w:r>
        <w:t xml:space="preserve">6) modul de separare a costurilor, a cheltuielilor </w:t>
      </w:r>
      <w:r w:rsidR="00782F78">
        <w:t>ș</w:t>
      </w:r>
      <w:r>
        <w:t>i a rentabilită</w:t>
      </w:r>
      <w:r w:rsidR="00782F78">
        <w:t>ț</w:t>
      </w:r>
      <w:r>
        <w:t>ii între activită</w:t>
      </w:r>
      <w:r w:rsidR="00782F78">
        <w:t>ț</w:t>
      </w:r>
      <w:r>
        <w:t xml:space="preserve">ile practicate de OSD </w:t>
      </w:r>
      <w:r w:rsidR="00782F78">
        <w:t>ș</w:t>
      </w:r>
      <w:r>
        <w:t>i între re</w:t>
      </w:r>
      <w:r w:rsidR="00782F78">
        <w:t>ț</w:t>
      </w:r>
      <w:r>
        <w:t>elele electrice de distribu</w:t>
      </w:r>
      <w:r w:rsidR="00782F78">
        <w:t>ț</w:t>
      </w:r>
      <w:r>
        <w:t>ie cu diferite nivele de tensiune;</w:t>
      </w:r>
    </w:p>
    <w:p w:rsidR="001C5006" w:rsidRDefault="00A92D31">
      <w:pPr>
        <w:pStyle w:val="NormalWeb"/>
      </w:pPr>
      <w:r>
        <w:t xml:space="preserve">7) modul de determinare </w:t>
      </w:r>
      <w:r w:rsidR="00782F78">
        <w:t>ș</w:t>
      </w:r>
      <w:r>
        <w:t>i de aprobare a costurilor de bază pentru serviciul de distribu</w:t>
      </w:r>
      <w:r w:rsidR="00782F78">
        <w:t>ț</w:t>
      </w:r>
      <w:r>
        <w:t>ie a energiei electrice;</w:t>
      </w:r>
    </w:p>
    <w:p w:rsidR="001C5006" w:rsidRDefault="00A92D31" w:rsidP="001B0598">
      <w:pPr>
        <w:pStyle w:val="NormalWeb"/>
        <w:spacing w:after="120"/>
      </w:pPr>
      <w:r>
        <w:t>8) modul de actualizare a costurilor de bază pentru perioada ulterioară celei în care au fost aprobate costurile de baz</w:t>
      </w:r>
      <w:r w:rsidR="001B0598">
        <w:t>ă.</w:t>
      </w:r>
    </w:p>
    <w:p w:rsidR="001C5006" w:rsidRDefault="00A92D31">
      <w:pPr>
        <w:pStyle w:val="NormalWeb"/>
      </w:pPr>
      <w:r>
        <w:rPr>
          <w:b/>
          <w:bCs/>
        </w:rPr>
        <w:t>3.</w:t>
      </w:r>
      <w:r>
        <w:t xml:space="preserve"> Tarifele pentru serviciul de distribu</w:t>
      </w:r>
      <w:r w:rsidR="00782F78">
        <w:t>ț</w:t>
      </w:r>
      <w:r>
        <w:t xml:space="preserve">ie a energiei electrice </w:t>
      </w:r>
      <w:r w:rsidR="006E4D82">
        <w:t xml:space="preserve">sunt de tip monom și </w:t>
      </w:r>
      <w:r>
        <w:t>se determină la un kWh energie electrică distribuită</w:t>
      </w:r>
      <w:r w:rsidR="006E4D82">
        <w:t xml:space="preserve"> sau </w:t>
      </w:r>
      <w:r>
        <w:t>la un kW putere contractată,</w:t>
      </w:r>
      <w:r w:rsidR="006E4D82">
        <w:t xml:space="preserve"> în dependență de decizia Agenției,</w:t>
      </w:r>
      <w:r w:rsidR="00782F78">
        <w:t>ș</w:t>
      </w:r>
      <w:r>
        <w:t>i sunt diferen</w:t>
      </w:r>
      <w:r w:rsidR="00782F78">
        <w:t>ț</w:t>
      </w:r>
      <w:r>
        <w:t>iate în func</w:t>
      </w:r>
      <w:r w:rsidR="00782F78">
        <w:t>ț</w:t>
      </w:r>
      <w:r>
        <w:t>ie de nivelul de tensiune a re</w:t>
      </w:r>
      <w:r w:rsidR="00782F78">
        <w:t>ț</w:t>
      </w:r>
      <w:r>
        <w:t>elelor electrice de distribu</w:t>
      </w:r>
      <w:r w:rsidR="00782F78">
        <w:t>ț</w:t>
      </w:r>
      <w:r>
        <w:t>ie la care sunt racordate instala</w:t>
      </w:r>
      <w:r w:rsidR="00782F78">
        <w:t>ț</w:t>
      </w:r>
      <w:r>
        <w:t xml:space="preserve">iile electrice ale consumatorilor finali. </w:t>
      </w:r>
    </w:p>
    <w:p w:rsidR="001C5006" w:rsidRPr="00F93459" w:rsidRDefault="00A92D31">
      <w:pPr>
        <w:pStyle w:val="NormalWeb"/>
        <w:rPr>
          <w:lang w:val="en-US"/>
        </w:rPr>
      </w:pPr>
      <w:r>
        <w:t> </w:t>
      </w:r>
    </w:p>
    <w:p w:rsidR="007275B4" w:rsidRPr="00F93459" w:rsidRDefault="007275B4">
      <w:pPr>
        <w:pStyle w:val="NormalWeb"/>
        <w:rPr>
          <w:lang w:val="en-US"/>
        </w:rPr>
      </w:pPr>
    </w:p>
    <w:p w:rsidR="007275B4" w:rsidRPr="00F93459" w:rsidRDefault="007275B4">
      <w:pPr>
        <w:pStyle w:val="NormalWeb"/>
        <w:rPr>
          <w:lang w:val="en-US"/>
        </w:rPr>
      </w:pPr>
    </w:p>
    <w:p w:rsidR="001C5006" w:rsidRDefault="00A92D31">
      <w:pPr>
        <w:pStyle w:val="cp"/>
      </w:pPr>
      <w:r>
        <w:lastRenderedPageBreak/>
        <w:t>Sec</w:t>
      </w:r>
      <w:r w:rsidR="00782F78">
        <w:t>ț</w:t>
      </w:r>
      <w:r>
        <w:t>iunea 2</w:t>
      </w:r>
    </w:p>
    <w:p w:rsidR="001C5006" w:rsidRDefault="00A92D31" w:rsidP="001B0598">
      <w:pPr>
        <w:pStyle w:val="cp"/>
        <w:spacing w:after="120"/>
      </w:pPr>
      <w:r>
        <w:t>PRINCIPIILE DE REGLEMENTARE</w:t>
      </w:r>
      <w:r w:rsidR="00F73749">
        <w:t xml:space="preserve"> ȘI MODUL DE DIFERENȚIERE</w:t>
      </w:r>
      <w:r>
        <w:t xml:space="preserve"> A TARIFELOR</w:t>
      </w:r>
    </w:p>
    <w:p w:rsidR="001C5006" w:rsidRDefault="00A92D31">
      <w:pPr>
        <w:pStyle w:val="NormalWeb"/>
      </w:pPr>
      <w:r>
        <w:rPr>
          <w:b/>
          <w:bCs/>
        </w:rPr>
        <w:t>4.</w:t>
      </w:r>
      <w:r>
        <w:t xml:space="preserve"> Metodologia este bazată pe următoarele principii de reglementare:</w:t>
      </w:r>
    </w:p>
    <w:p w:rsidR="001C5006" w:rsidRDefault="00A92D31">
      <w:pPr>
        <w:pStyle w:val="NormalWeb"/>
      </w:pPr>
      <w:r>
        <w:t>1) func</w:t>
      </w:r>
      <w:r w:rsidR="00782F78">
        <w:t>ț</w:t>
      </w:r>
      <w:r>
        <w:t xml:space="preserve">ionarea eficientă </w:t>
      </w:r>
      <w:r w:rsidR="00782F78">
        <w:t>ș</w:t>
      </w:r>
      <w:r>
        <w:t>i asigurarea viabilită</w:t>
      </w:r>
      <w:r w:rsidR="00782F78">
        <w:t>ț</w:t>
      </w:r>
      <w:r>
        <w:t>ii financiare a OSD prin stabilirea tarifelor pentru serviciul de distribu</w:t>
      </w:r>
      <w:r w:rsidR="00782F78">
        <w:t>ț</w:t>
      </w:r>
      <w:r>
        <w:t xml:space="preserve">ie a energiei electrice în baza cheltuielilor reale </w:t>
      </w:r>
      <w:r w:rsidR="00782F78">
        <w:t>ș</w:t>
      </w:r>
      <w:r>
        <w:t>i strict necesare pentru desfă</w:t>
      </w:r>
      <w:r w:rsidR="00782F78">
        <w:t>ș</w:t>
      </w:r>
      <w:r>
        <w:t>urarea activită</w:t>
      </w:r>
      <w:r w:rsidR="00782F78">
        <w:t>ț</w:t>
      </w:r>
      <w:r>
        <w:t xml:space="preserve">ii, cu excluderea din calcul a tuturor costurilor </w:t>
      </w:r>
      <w:r w:rsidR="00782F78">
        <w:t>ș</w:t>
      </w:r>
      <w:r>
        <w:t xml:space="preserve">i cheltuielilor economic neargumentate, nejustificate </w:t>
      </w:r>
      <w:r w:rsidR="00782F78">
        <w:t>ș</w:t>
      </w:r>
      <w:r>
        <w:t>i/sau care, conform procesului tehnologic, nu sunt necesare pentru prestarea serviciului de distribu</w:t>
      </w:r>
      <w:r w:rsidR="00782F78">
        <w:t>ț</w:t>
      </w:r>
      <w:r>
        <w:t>ie a energiei electrice;</w:t>
      </w:r>
    </w:p>
    <w:p w:rsidR="001C5006" w:rsidRDefault="00A92D31">
      <w:pPr>
        <w:pStyle w:val="NormalWeb"/>
      </w:pPr>
      <w:r>
        <w:t xml:space="preserve">2) prestarea calitativă </w:t>
      </w:r>
      <w:r w:rsidR="00782F78">
        <w:t>ș</w:t>
      </w:r>
      <w:r>
        <w:t>i fiabilă a serviciului de distribu</w:t>
      </w:r>
      <w:r w:rsidR="00782F78">
        <w:t>ț</w:t>
      </w:r>
      <w:r>
        <w:t>ie a energiei electrice furnizorilor, consumatorilor finali, cu utilizarea eficientă a obiectelor re</w:t>
      </w:r>
      <w:r w:rsidR="00782F78">
        <w:t>ț</w:t>
      </w:r>
      <w:r>
        <w:t>elei electrice de distribu</w:t>
      </w:r>
      <w:r w:rsidR="00782F78">
        <w:t>ț</w:t>
      </w:r>
      <w:r>
        <w:t>ie;</w:t>
      </w:r>
    </w:p>
    <w:p w:rsidR="001C5006" w:rsidRDefault="00A92D31">
      <w:pPr>
        <w:pStyle w:val="NormalWeb"/>
      </w:pPr>
      <w:r>
        <w:t>3) desfă</w:t>
      </w:r>
      <w:r w:rsidR="00782F78">
        <w:t>ș</w:t>
      </w:r>
      <w:r>
        <w:t>urarea în condi</w:t>
      </w:r>
      <w:r w:rsidR="00782F78">
        <w:t>ț</w:t>
      </w:r>
      <w:r>
        <w:t>ii de siguran</w:t>
      </w:r>
      <w:r w:rsidR="00782F78">
        <w:t>ț</w:t>
      </w:r>
      <w:r>
        <w:t>ă a activită</w:t>
      </w:r>
      <w:r w:rsidR="00782F78">
        <w:t>ț</w:t>
      </w:r>
      <w:r>
        <w:t>ii de distribu</w:t>
      </w:r>
      <w:r w:rsidR="00782F78">
        <w:t>ț</w:t>
      </w:r>
      <w:r>
        <w:t>ie a energiei electrice;</w:t>
      </w:r>
    </w:p>
    <w:p w:rsidR="001C5006" w:rsidRDefault="00A92D31">
      <w:pPr>
        <w:pStyle w:val="NormalWeb"/>
      </w:pPr>
      <w:r>
        <w:t>4) includerea în tarifele pentru serviciul de distribu</w:t>
      </w:r>
      <w:r w:rsidR="00782F78">
        <w:t>ț</w:t>
      </w:r>
      <w:r>
        <w:t>ie a energiei electrice doar a costurilor reale, aferente prestării serviciului distribu</w:t>
      </w:r>
      <w:r w:rsidR="00782F78">
        <w:t>ț</w:t>
      </w:r>
      <w:r>
        <w:t>ie a energiei electrice prin re</w:t>
      </w:r>
      <w:r w:rsidR="00782F78">
        <w:t>ț</w:t>
      </w:r>
      <w:r>
        <w:t>elele electrice de nivelul corespunzător de tensiune la care sunt racordate instala</w:t>
      </w:r>
      <w:r w:rsidR="00782F78">
        <w:t>ț</w:t>
      </w:r>
      <w:r>
        <w:t>iile electrice ale consumatorilor finali;</w:t>
      </w:r>
    </w:p>
    <w:p w:rsidR="001C5006" w:rsidRDefault="00A92D31">
      <w:pPr>
        <w:pStyle w:val="NormalWeb"/>
      </w:pPr>
      <w:r>
        <w:t>5) orientarea sistemului de determinare a tarifelor astfel ca OSD, furnizorii, consumatorii finali să fie motiva</w:t>
      </w:r>
      <w:r w:rsidR="00782F78">
        <w:t>ț</w:t>
      </w:r>
      <w:r>
        <w:t>i în utilizarea eficientă a capacită</w:t>
      </w:r>
      <w:r w:rsidR="00782F78">
        <w:t>ț</w:t>
      </w:r>
      <w:r>
        <w:t>ilor re</w:t>
      </w:r>
      <w:r w:rsidR="00782F78">
        <w:t>ț</w:t>
      </w:r>
      <w:r>
        <w:t>elelor electrice de distribu</w:t>
      </w:r>
      <w:r w:rsidR="00782F78">
        <w:t>ț</w:t>
      </w:r>
      <w:r>
        <w:t>ie;</w:t>
      </w:r>
    </w:p>
    <w:p w:rsidR="001C5006" w:rsidRDefault="00A92D31">
      <w:pPr>
        <w:pStyle w:val="NormalWeb"/>
      </w:pPr>
      <w:r>
        <w:t>6) promovarea investi</w:t>
      </w:r>
      <w:r w:rsidR="00782F78">
        <w:t>ț</w:t>
      </w:r>
      <w:r>
        <w:t>iilor eficiente în re</w:t>
      </w:r>
      <w:r w:rsidR="00782F78">
        <w:t>ț</w:t>
      </w:r>
      <w:r>
        <w:t>elele electrice de distribu</w:t>
      </w:r>
      <w:r w:rsidR="00782F78">
        <w:t>ț</w:t>
      </w:r>
      <w:r>
        <w:t>ie;</w:t>
      </w:r>
    </w:p>
    <w:p w:rsidR="001C5006" w:rsidRDefault="00A92D31">
      <w:pPr>
        <w:pStyle w:val="NormalWeb"/>
      </w:pPr>
      <w:r>
        <w:t>7) excluderea subven</w:t>
      </w:r>
      <w:r w:rsidR="00782F78">
        <w:t>ț</w:t>
      </w:r>
      <w:r>
        <w:t>iilor încruci</w:t>
      </w:r>
      <w:r w:rsidR="00782F78">
        <w:t>ș</w:t>
      </w:r>
      <w:r>
        <w:t>ate;</w:t>
      </w:r>
    </w:p>
    <w:p w:rsidR="001C5006" w:rsidRDefault="00A92D31" w:rsidP="001B0598">
      <w:pPr>
        <w:pStyle w:val="NormalWeb"/>
        <w:spacing w:after="120"/>
      </w:pPr>
      <w:r>
        <w:t>8) asigurarea transparen</w:t>
      </w:r>
      <w:r w:rsidR="00782F78">
        <w:t>ț</w:t>
      </w:r>
      <w:r>
        <w:t>ei în proces</w:t>
      </w:r>
      <w:r w:rsidR="001B0598">
        <w:t>ul de reglementare a tarifelor.</w:t>
      </w:r>
    </w:p>
    <w:p w:rsidR="001C5006" w:rsidRDefault="00A92D31">
      <w:pPr>
        <w:pStyle w:val="NormalWeb"/>
      </w:pPr>
      <w:r>
        <w:rPr>
          <w:b/>
          <w:bCs/>
        </w:rPr>
        <w:t>5.</w:t>
      </w:r>
      <w:r>
        <w:t xml:space="preserve"> Determinarea tarifelor pentru serviciul de distribu</w:t>
      </w:r>
      <w:r w:rsidR="00782F78">
        <w:t>ț</w:t>
      </w:r>
      <w:r>
        <w:t>ie a energiei electrice se va efectua diferen</w:t>
      </w:r>
      <w:r w:rsidR="00782F78">
        <w:t>ț</w:t>
      </w:r>
      <w:r>
        <w:t>iat, în func</w:t>
      </w:r>
      <w:r w:rsidR="00782F78">
        <w:t>ț</w:t>
      </w:r>
      <w:r>
        <w:t>ie de nivelul tensiunii re</w:t>
      </w:r>
      <w:r w:rsidR="00782F78">
        <w:t>ț</w:t>
      </w:r>
      <w:r>
        <w:t>elelor electrice de distribu</w:t>
      </w:r>
      <w:r w:rsidR="00782F78">
        <w:t>ț</w:t>
      </w:r>
      <w:r>
        <w:t>ie la care sunt racordate instala</w:t>
      </w:r>
      <w:r w:rsidR="00782F78">
        <w:t>ț</w:t>
      </w:r>
      <w:r>
        <w:t xml:space="preserve">iile electrice ale consumatorilor finali. </w:t>
      </w:r>
      <w:r w:rsidR="008D7AF4">
        <w:t xml:space="preserve">Se </w:t>
      </w:r>
      <w:r>
        <w:t>disting trei nivele de tensiune a re</w:t>
      </w:r>
      <w:r w:rsidR="00782F78">
        <w:t>ț</w:t>
      </w:r>
      <w:r>
        <w:t>elelor electrice de distribu</w:t>
      </w:r>
      <w:r w:rsidR="00782F78">
        <w:t>ț</w:t>
      </w:r>
      <w:r>
        <w:t>ie:</w:t>
      </w:r>
    </w:p>
    <w:p w:rsidR="001C5006" w:rsidRDefault="00A92D31">
      <w:pPr>
        <w:pStyle w:val="NormalWeb"/>
      </w:pPr>
      <w:r>
        <w:t>“TÎ” –tensiune înaltă. La acest nivel de tensiune se referă re</w:t>
      </w:r>
      <w:r w:rsidR="00782F78">
        <w:t>ț</w:t>
      </w:r>
      <w:r>
        <w:t>elele electrice de distribu</w:t>
      </w:r>
      <w:r w:rsidR="00782F78">
        <w:t>ț</w:t>
      </w:r>
      <w:r>
        <w:t>ie de tensiunea 35-110 kV;</w:t>
      </w:r>
    </w:p>
    <w:p w:rsidR="001C5006" w:rsidRDefault="00A92D31">
      <w:pPr>
        <w:pStyle w:val="NormalWeb"/>
      </w:pPr>
      <w:r>
        <w:t>“TM” –tensiune medie. La acest nivel de tensiune se referă re</w:t>
      </w:r>
      <w:r w:rsidR="00782F78">
        <w:t>ț</w:t>
      </w:r>
      <w:r>
        <w:t>elele electrice de distribu</w:t>
      </w:r>
      <w:r w:rsidR="00782F78">
        <w:t>ț</w:t>
      </w:r>
      <w:r>
        <w:t>ie de tensiunea 6-10 kV;</w:t>
      </w:r>
    </w:p>
    <w:p w:rsidR="001C5006" w:rsidRDefault="00A92D31" w:rsidP="001B0598">
      <w:pPr>
        <w:pStyle w:val="NormalWeb"/>
        <w:spacing w:after="120"/>
      </w:pPr>
      <w:r>
        <w:t>“TJ” –tensiune joasă. La acest nivel de tensiune se referă re</w:t>
      </w:r>
      <w:r w:rsidR="00782F78">
        <w:t>ț</w:t>
      </w:r>
      <w:r>
        <w:t>elele electrice de distribu</w:t>
      </w:r>
      <w:r w:rsidR="00782F78">
        <w:t>ț</w:t>
      </w:r>
      <w:r>
        <w:t xml:space="preserve">ie de tensiunea 0,4 kV </w:t>
      </w:r>
      <w:r w:rsidR="00782F78">
        <w:t>ș</w:t>
      </w:r>
      <w:r>
        <w:t>i mai joasă.</w:t>
      </w:r>
    </w:p>
    <w:p w:rsidR="001C5006" w:rsidRDefault="00A92D31" w:rsidP="001B0598">
      <w:pPr>
        <w:pStyle w:val="NormalWeb"/>
        <w:spacing w:after="120"/>
      </w:pPr>
      <w:r>
        <w:rPr>
          <w:b/>
          <w:bCs/>
        </w:rPr>
        <w:t>6.</w:t>
      </w:r>
      <w:r>
        <w:t xml:space="preserve"> În componen</w:t>
      </w:r>
      <w:r w:rsidR="00782F78">
        <w:t>ț</w:t>
      </w:r>
      <w:r>
        <w:t>a re</w:t>
      </w:r>
      <w:r w:rsidR="00782F78">
        <w:t>ț</w:t>
      </w:r>
      <w:r>
        <w:t>elelor electrice de distribu</w:t>
      </w:r>
      <w:r w:rsidR="00782F78">
        <w:t>ț</w:t>
      </w:r>
      <w:r>
        <w:t>ie de “TÎ” se includ liniile electrice de distribu</w:t>
      </w:r>
      <w:r w:rsidR="00782F78">
        <w:t>ț</w:t>
      </w:r>
      <w:r>
        <w:t xml:space="preserve">ie de 110 </w:t>
      </w:r>
      <w:r w:rsidR="00782F78">
        <w:t>ș</w:t>
      </w:r>
      <w:r>
        <w:t xml:space="preserve">i de 35 kV, alte mijloace fixe </w:t>
      </w:r>
      <w:r w:rsidR="00782F78">
        <w:t>ș</w:t>
      </w:r>
      <w:r>
        <w:t>i imobilizări necorporale direct aferente acestor re</w:t>
      </w:r>
      <w:r w:rsidR="00782F78">
        <w:t>ț</w:t>
      </w:r>
      <w:r>
        <w:t>ele, amplasate de la punctele de delimitare cu re</w:t>
      </w:r>
      <w:r w:rsidR="00782F78">
        <w:t>ț</w:t>
      </w:r>
      <w:r>
        <w:t>elele electrice de transport până la punctele de intrare a acestor linii electrice în sta</w:t>
      </w:r>
      <w:r w:rsidR="00782F78">
        <w:t>ț</w:t>
      </w:r>
      <w:r>
        <w:t xml:space="preserve">iile de transformare (transformatoare) de 35/10 kV, de 35/6 kV, de 110/35/10 kV, de 110/35/6 kV, de 110/10kV </w:t>
      </w:r>
      <w:r w:rsidR="00782F78">
        <w:t>ș</w:t>
      </w:r>
      <w:r>
        <w:t xml:space="preserve">i de 110/6 kV, </w:t>
      </w:r>
      <w:r w:rsidR="00782F78">
        <w:t>ș</w:t>
      </w:r>
      <w:r>
        <w:t>i până la punctele de delimitare a proprietă</w:t>
      </w:r>
      <w:r w:rsidR="00782F78">
        <w:t>ț</w:t>
      </w:r>
      <w:r>
        <w:t>ii OSD cu proprietatea consumatorilor finali, ale căror instala</w:t>
      </w:r>
      <w:r w:rsidR="00782F78">
        <w:t>ț</w:t>
      </w:r>
      <w:r>
        <w:t>ii electrice sunt racordate la re</w:t>
      </w:r>
      <w:r w:rsidR="00782F78">
        <w:t>ț</w:t>
      </w:r>
      <w:r>
        <w:t>elele electric de “TÎ”.</w:t>
      </w:r>
    </w:p>
    <w:p w:rsidR="001C5006" w:rsidRDefault="00A92D31" w:rsidP="001B0598">
      <w:pPr>
        <w:pStyle w:val="NormalWeb"/>
        <w:spacing w:after="120"/>
      </w:pPr>
      <w:r>
        <w:rPr>
          <w:b/>
          <w:bCs/>
        </w:rPr>
        <w:t>7.</w:t>
      </w:r>
      <w:r>
        <w:t xml:space="preserve"> În componen</w:t>
      </w:r>
      <w:r w:rsidR="00782F78">
        <w:t>ț</w:t>
      </w:r>
      <w:r>
        <w:t>a re</w:t>
      </w:r>
      <w:r w:rsidR="00782F78">
        <w:t>ț</w:t>
      </w:r>
      <w:r>
        <w:t>elelor electrice de distribu</w:t>
      </w:r>
      <w:r w:rsidR="00782F78">
        <w:t>ț</w:t>
      </w:r>
      <w:r>
        <w:t>ie de “TM” se includ sta</w:t>
      </w:r>
      <w:r w:rsidR="00782F78">
        <w:t>ț</w:t>
      </w:r>
      <w:r>
        <w:t xml:space="preserve">iile de transformare (transformatoare) de 110/35/10 kV, de 110/35/6 kV, de 110/10 kV, de 110/6 kV, de 35/10 kV </w:t>
      </w:r>
      <w:r w:rsidR="00782F78">
        <w:t>ș</w:t>
      </w:r>
      <w:r>
        <w:t>i 35/6 kV, toate liniile electrice de distribu</w:t>
      </w:r>
      <w:r w:rsidR="00782F78">
        <w:t>ț</w:t>
      </w:r>
      <w:r>
        <w:t xml:space="preserve">ie de 6 kV </w:t>
      </w:r>
      <w:r w:rsidR="00782F78">
        <w:t>ș</w:t>
      </w:r>
      <w:r>
        <w:t xml:space="preserve">i de 10 kV, alte mijloace fixe </w:t>
      </w:r>
      <w:r w:rsidR="00782F78">
        <w:t>ș</w:t>
      </w:r>
      <w:r>
        <w:t>i imobilizări necorporale direct aferente acestor linii electrice, amplasate de la punctele de ie</w:t>
      </w:r>
      <w:r w:rsidR="00782F78">
        <w:t>ș</w:t>
      </w:r>
      <w:r>
        <w:t>ire din sta</w:t>
      </w:r>
      <w:r w:rsidR="00782F78">
        <w:t>ț</w:t>
      </w:r>
      <w:r>
        <w:t>iile de transformare (transformatoare) sus-men</w:t>
      </w:r>
      <w:r w:rsidR="00782F78">
        <w:t>ț</w:t>
      </w:r>
      <w:r>
        <w:t>ionate până la sta</w:t>
      </w:r>
      <w:r w:rsidR="00782F78">
        <w:t>ț</w:t>
      </w:r>
      <w:r>
        <w:t xml:space="preserve">iile de transformare (transformatoare) de 10/0,4 kV, de 6/0,4 kV </w:t>
      </w:r>
      <w:r w:rsidR="00782F78">
        <w:t>ș</w:t>
      </w:r>
      <w:r>
        <w:t>i până la punctele de delimitare a proprietă</w:t>
      </w:r>
      <w:r w:rsidR="00782F78">
        <w:t>ț</w:t>
      </w:r>
      <w:r>
        <w:t>ii OSD cu proprietatea consumatorilor finali, ale căror instala</w:t>
      </w:r>
      <w:r w:rsidR="00782F78">
        <w:t>ț</w:t>
      </w:r>
      <w:r>
        <w:t>ii electrice sunt racordate la re</w:t>
      </w:r>
      <w:r w:rsidR="00782F78">
        <w:t>ț</w:t>
      </w:r>
      <w:r>
        <w:t>elele electrice de distribu</w:t>
      </w:r>
      <w:r w:rsidR="00782F78">
        <w:t>ț</w:t>
      </w:r>
      <w:r>
        <w:t>ie de “TM”.</w:t>
      </w:r>
    </w:p>
    <w:p w:rsidR="001C5006" w:rsidRDefault="00A92D31">
      <w:pPr>
        <w:pStyle w:val="NormalWeb"/>
      </w:pPr>
      <w:r>
        <w:rPr>
          <w:b/>
          <w:bCs/>
        </w:rPr>
        <w:t>8.</w:t>
      </w:r>
      <w:r>
        <w:t xml:space="preserve"> În componen</w:t>
      </w:r>
      <w:r w:rsidR="00782F78">
        <w:t>ț</w:t>
      </w:r>
      <w:r>
        <w:t>a re</w:t>
      </w:r>
      <w:r w:rsidR="00782F78">
        <w:t>ț</w:t>
      </w:r>
      <w:r>
        <w:t>elelor electrice de distribu</w:t>
      </w:r>
      <w:r w:rsidR="00782F78">
        <w:t>ț</w:t>
      </w:r>
      <w:r>
        <w:t>ie de “TJ” se includ sta</w:t>
      </w:r>
      <w:r w:rsidR="00782F78">
        <w:t>ț</w:t>
      </w:r>
      <w:r>
        <w:t xml:space="preserve">iile de transformare (transformatoarele) de 10/0,4 kV </w:t>
      </w:r>
      <w:r w:rsidR="00782F78">
        <w:t>ș</w:t>
      </w:r>
      <w:r>
        <w:t xml:space="preserve">i de 6/0,4 kV </w:t>
      </w:r>
      <w:r w:rsidR="00782F78">
        <w:t>ș</w:t>
      </w:r>
      <w:r>
        <w:t>i mai jos, liniile electrice de distribu</w:t>
      </w:r>
      <w:r w:rsidR="00782F78">
        <w:t>ț</w:t>
      </w:r>
      <w:r>
        <w:t xml:space="preserve">ie de 0,4 kV </w:t>
      </w:r>
      <w:r w:rsidR="00782F78">
        <w:t>ș</w:t>
      </w:r>
      <w:r>
        <w:t xml:space="preserve">i mai jos, alte mijloace fixe </w:t>
      </w:r>
      <w:r w:rsidR="00782F78">
        <w:t>ș</w:t>
      </w:r>
      <w:r>
        <w:t>i imobilizări necorporale direct aferente liniilor electrice de distribu</w:t>
      </w:r>
      <w:r w:rsidR="00782F78">
        <w:t>ț</w:t>
      </w:r>
      <w:r>
        <w:t xml:space="preserve">ie de 0,4 kV </w:t>
      </w:r>
      <w:r w:rsidR="00782F78">
        <w:t>ș</w:t>
      </w:r>
      <w:r>
        <w:t>i mai jos, amplasate de la punctele de ie</w:t>
      </w:r>
      <w:r w:rsidR="00782F78">
        <w:t>ș</w:t>
      </w:r>
      <w:r>
        <w:t>ire din sta</w:t>
      </w:r>
      <w:r w:rsidR="00782F78">
        <w:t>ț</w:t>
      </w:r>
      <w:r>
        <w:t>iile de transformare (transformatoare) sus-men</w:t>
      </w:r>
      <w:r w:rsidR="00782F78">
        <w:t>ț</w:t>
      </w:r>
      <w:r>
        <w:t xml:space="preserve">ionate </w:t>
      </w:r>
      <w:r w:rsidR="00782F78">
        <w:t>ș</w:t>
      </w:r>
      <w:r>
        <w:t>i până la (inclusiv) punctele de delimitare a proprietă</w:t>
      </w:r>
      <w:r w:rsidR="00782F78">
        <w:t>ț</w:t>
      </w:r>
      <w:r>
        <w:t>ii OSD cu proprietatea consumatorilor finali, ale căror instala</w:t>
      </w:r>
      <w:r w:rsidR="00782F78">
        <w:t>ț</w:t>
      </w:r>
      <w:r>
        <w:t>ii electrice sunt racordate la re</w:t>
      </w:r>
      <w:r w:rsidR="00782F78">
        <w:t>ț</w:t>
      </w:r>
      <w:r>
        <w:t>elele electrice de distribu</w:t>
      </w:r>
      <w:r w:rsidR="00782F78">
        <w:t>ț</w:t>
      </w:r>
      <w:r>
        <w:t xml:space="preserve">ie de </w:t>
      </w:r>
      <w:r>
        <w:lastRenderedPageBreak/>
        <w:t>“TJ” sau până la locurile de consum în cazul consumatorilor casnici (până la clemele de ie</w:t>
      </w:r>
      <w:r w:rsidR="00782F78">
        <w:t>ș</w:t>
      </w:r>
      <w:r>
        <w:t>ire ale întrerupătorului sau a echipamentului de măsurare).</w:t>
      </w:r>
    </w:p>
    <w:p w:rsidR="001C5006" w:rsidRDefault="00A92D31">
      <w:pPr>
        <w:pStyle w:val="NormalWeb"/>
      </w:pPr>
      <w:r>
        <w:t> </w:t>
      </w:r>
    </w:p>
    <w:p w:rsidR="001C5006" w:rsidRDefault="00A92D31">
      <w:pPr>
        <w:pStyle w:val="cp"/>
      </w:pPr>
      <w:r>
        <w:t>Sec</w:t>
      </w:r>
      <w:r w:rsidR="00782F78">
        <w:t>ț</w:t>
      </w:r>
      <w:r>
        <w:t>iunea 3</w:t>
      </w:r>
    </w:p>
    <w:p w:rsidR="001C5006" w:rsidRDefault="00A92D31">
      <w:pPr>
        <w:pStyle w:val="cp"/>
      </w:pPr>
      <w:r>
        <w:t>CALCULAREA TARIFELOR</w:t>
      </w:r>
    </w:p>
    <w:p w:rsidR="001C5006" w:rsidRDefault="00A92D31">
      <w:pPr>
        <w:pStyle w:val="NormalWeb"/>
      </w:pPr>
      <w:r>
        <w:rPr>
          <w:b/>
          <w:bCs/>
        </w:rPr>
        <w:t>9.</w:t>
      </w:r>
      <w:r>
        <w:t xml:space="preserve"> Tarifele pentru serviciul de distribu</w:t>
      </w:r>
      <w:r w:rsidR="00782F78">
        <w:t>ț</w:t>
      </w:r>
      <w:r>
        <w:t>ie a energiei electrice, determinate la un kWh energie electrică distribuită, diferen</w:t>
      </w:r>
      <w:r w:rsidR="00782F78">
        <w:t>ț</w:t>
      </w:r>
      <w:r>
        <w:t>iate în func</w:t>
      </w:r>
      <w:r w:rsidR="00782F78">
        <w:t>ț</w:t>
      </w:r>
      <w:r>
        <w:t>ie de nivelul tensiunii re</w:t>
      </w:r>
      <w:r w:rsidR="00782F78">
        <w:t>ț</w:t>
      </w:r>
      <w:r>
        <w:t>elelor electrice de distribu</w:t>
      </w:r>
      <w:r w:rsidR="00782F78">
        <w:t>ț</w:t>
      </w:r>
      <w:r>
        <w:t>ie, pentru fiecare an “n” se calculează conform formulelor:</w:t>
      </w:r>
    </w:p>
    <w:p w:rsidR="001C5006" w:rsidRDefault="00A92D31">
      <w:pPr>
        <w:pStyle w:val="NormalWeb"/>
      </w:pPr>
      <w:r>
        <w:t>1) Pentru serviciul de distribu</w:t>
      </w:r>
      <w:r w:rsidR="00782F78">
        <w:t>ț</w:t>
      </w:r>
      <w:r>
        <w:t>ie a energiei electrice, prestat prin re</w:t>
      </w:r>
      <w:r w:rsidR="00782F78">
        <w:t>ț</w:t>
      </w:r>
      <w:r>
        <w:t>elele electrice de distribu</w:t>
      </w:r>
      <w:r w:rsidR="00782F78">
        <w:t>ț</w:t>
      </w:r>
      <w:r>
        <w:t>ie de tensiune înaltă:</w:t>
      </w:r>
    </w:p>
    <w:p w:rsidR="001C5006" w:rsidRDefault="00A92D31">
      <w:pPr>
        <w:pStyle w:val="NormalWeb"/>
      </w:pPr>
      <w:r>
        <w:t> </w:t>
      </w:r>
    </w:p>
    <w:p w:rsidR="001C5006" w:rsidRDefault="001C5006">
      <w:pPr>
        <w:pStyle w:val="cn"/>
      </w:pPr>
    </w:p>
    <w:p w:rsidR="00D94F29" w:rsidRDefault="00A726DA">
      <w:pPr>
        <w:pStyle w:val="cn"/>
      </w:pPr>
      <m:oMathPara>
        <m:oMath>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m</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nît</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nît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nît</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 xml:space="preserve">    (1)</m:t>
          </m:r>
        </m:oMath>
      </m:oMathPara>
    </w:p>
    <w:p w:rsidR="001C5006" w:rsidRDefault="00A92D31">
      <w:pPr>
        <w:pStyle w:val="NormalWeb"/>
      </w:pPr>
      <w:r>
        <w:t> </w:t>
      </w:r>
    </w:p>
    <w:p w:rsidR="001C5006" w:rsidRDefault="00A92D31">
      <w:pPr>
        <w:pStyle w:val="NormalWeb"/>
      </w:pPr>
      <w:r>
        <w:t>2) Pentru serviciul de distribu</w:t>
      </w:r>
      <w:r w:rsidR="00782F78">
        <w:t>ț</w:t>
      </w:r>
      <w:r>
        <w:t>ie a energiei electrice, prestat prin re</w:t>
      </w:r>
      <w:r w:rsidR="00782F78">
        <w:t>ț</w:t>
      </w:r>
      <w:r>
        <w:t>elele electrice de distribu</w:t>
      </w:r>
      <w:r w:rsidR="00782F78">
        <w:t>ț</w:t>
      </w:r>
      <w:r>
        <w:t>ie de tensiune medie:</w:t>
      </w:r>
    </w:p>
    <w:p w:rsidR="001C5006" w:rsidRDefault="00A92D31">
      <w:pPr>
        <w:pStyle w:val="NormalWeb"/>
      </w:pPr>
      <w:r>
        <w:t> </w:t>
      </w:r>
    </w:p>
    <w:p w:rsidR="00D94F29" w:rsidRDefault="00A726DA">
      <w:pPr>
        <w:pStyle w:val="cn"/>
      </w:pPr>
      <m:oMathPara>
        <m:oMath>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m</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nmt</m:t>
                  </m:r>
                </m:sub>
              </m:sSub>
            </m:num>
            <m:den>
              <m:sSub>
                <m:sSubPr>
                  <m:ctrlPr>
                    <w:rPr>
                      <w:rFonts w:ascii="Cambria Math" w:hAnsi="Cambria Math"/>
                      <w:i/>
                    </w:rPr>
                  </m:ctrlPr>
                </m:sSubPr>
                <m:e>
                  <m:r>
                    <w:rPr>
                      <w:rFonts w:ascii="Cambria Math" w:hAnsi="Cambria Math"/>
                    </w:rPr>
                    <m:t>ED</m:t>
                  </m:r>
                </m:e>
                <m:sub>
                  <m:r>
                    <w:rPr>
                      <w:rFonts w:ascii="Cambria Math" w:hAnsi="Cambria Math"/>
                    </w:rPr>
                    <m:t>nmt</m:t>
                  </m:r>
                </m:sub>
              </m:sSub>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njt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nmt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nmt</m:t>
                  </m:r>
                </m:sub>
              </m:sSub>
            </m:num>
            <m:den>
              <m:sSub>
                <m:sSubPr>
                  <m:ctrlPr>
                    <w:rPr>
                      <w:rFonts w:ascii="Cambria Math" w:hAnsi="Cambria Math"/>
                      <w:i/>
                    </w:rPr>
                  </m:ctrlPr>
                </m:sSubPr>
                <m:e>
                  <m:r>
                    <w:rPr>
                      <w:rFonts w:ascii="Cambria Math" w:hAnsi="Cambria Math"/>
                    </w:rPr>
                    <m:t>ED</m:t>
                  </m:r>
                </m:e>
                <m:sub>
                  <m:r>
                    <w:rPr>
                      <w:rFonts w:ascii="Cambria Math" w:hAnsi="Cambria Math"/>
                    </w:rPr>
                    <m:t>nmt</m:t>
                  </m:r>
                </m:sub>
              </m:sSub>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njt</m:t>
                  </m:r>
                </m:sub>
              </m:sSub>
            </m:den>
          </m:f>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m</m:t>
              </m:r>
            </m:sup>
          </m:sSubSup>
          <m:r>
            <w:rPr>
              <w:rFonts w:ascii="Cambria Math" w:hAnsi="Cambria Math"/>
            </w:rPr>
            <m:t xml:space="preserve">  (2)</m:t>
          </m:r>
        </m:oMath>
      </m:oMathPara>
    </w:p>
    <w:p w:rsidR="001C5006" w:rsidRDefault="00A92D31">
      <w:pPr>
        <w:pStyle w:val="NormalWeb"/>
      </w:pPr>
      <w:r>
        <w:t> </w:t>
      </w:r>
    </w:p>
    <w:p w:rsidR="001C5006" w:rsidRDefault="00A92D31">
      <w:pPr>
        <w:pStyle w:val="NormalWeb"/>
      </w:pPr>
      <w:r>
        <w:t>3) Pentru serviciul de distribu</w:t>
      </w:r>
      <w:r w:rsidR="00782F78">
        <w:t>ț</w:t>
      </w:r>
      <w:r>
        <w:t>ie a energiei electrice, prestat prin re</w:t>
      </w:r>
      <w:r w:rsidR="00782F78">
        <w:t>ț</w:t>
      </w:r>
      <w:r>
        <w:t>elele electrice de distribu</w:t>
      </w:r>
      <w:r w:rsidR="00782F78">
        <w:t>ț</w:t>
      </w:r>
      <w:r>
        <w:t>ie de tensiune joasă:</w:t>
      </w:r>
    </w:p>
    <w:p w:rsidR="001C5006" w:rsidRDefault="00A92D31">
      <w:pPr>
        <w:pStyle w:val="NormalWeb"/>
      </w:pPr>
      <w:r>
        <w:t> </w:t>
      </w:r>
    </w:p>
    <w:p w:rsidR="00D94F29" w:rsidRDefault="00A726DA">
      <w:pPr>
        <w:pStyle w:val="cn"/>
      </w:pPr>
      <m:oMath>
        <m:sSubSup>
          <m:sSubSupPr>
            <m:ctrlPr>
              <w:rPr>
                <w:rFonts w:ascii="Cambria Math" w:hAnsi="Cambria Math"/>
                <w:i/>
              </w:rPr>
            </m:ctrlPr>
          </m:sSubSupPr>
          <m:e>
            <m:r>
              <w:rPr>
                <w:rFonts w:ascii="Cambria Math" w:hAnsi="Cambria Math"/>
              </w:rPr>
              <m:t>TD</m:t>
            </m:r>
          </m:e>
          <m:sub>
            <m:r>
              <w:rPr>
                <w:rFonts w:ascii="Cambria Math" w:hAnsi="Cambria Math"/>
              </w:rPr>
              <m:t>njt</m:t>
            </m:r>
          </m:sub>
          <m:sup>
            <m:r>
              <w:rPr>
                <w:rFonts w:ascii="Cambria Math" w:hAnsi="Cambria Math"/>
              </w:rPr>
              <m:t>m</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njt</m:t>
                </m:r>
              </m:sub>
            </m:sSub>
          </m:num>
          <m:den>
            <m:sSub>
              <m:sSubPr>
                <m:ctrlPr>
                  <w:rPr>
                    <w:rFonts w:ascii="Cambria Math" w:hAnsi="Cambria Math"/>
                    <w:i/>
                  </w:rPr>
                </m:ctrlPr>
              </m:sSubPr>
              <m:e>
                <m:r>
                  <w:rPr>
                    <w:rFonts w:ascii="Cambria Math" w:hAnsi="Cambria Math"/>
                  </w:rPr>
                  <m:t>ED</m:t>
                </m:r>
              </m:e>
              <m:sub>
                <m:r>
                  <w:rPr>
                    <w:rFonts w:ascii="Cambria Math" w:hAnsi="Cambria Math"/>
                  </w:rPr>
                  <m:t>njt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njt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njt</m:t>
                </m:r>
              </m:sub>
            </m:sSub>
          </m:num>
          <m:den>
            <m:sSub>
              <m:sSubPr>
                <m:ctrlPr>
                  <w:rPr>
                    <w:rFonts w:ascii="Cambria Math" w:hAnsi="Cambria Math"/>
                    <w:i/>
                  </w:rPr>
                </m:ctrlPr>
              </m:sSubPr>
              <m:e>
                <m:r>
                  <w:rPr>
                    <w:rFonts w:ascii="Cambria Math" w:hAnsi="Cambria Math"/>
                  </w:rPr>
                  <m:t>ED</m:t>
                </m:r>
              </m:e>
              <m:sub>
                <m:r>
                  <w:rPr>
                    <w:rFonts w:ascii="Cambria Math" w:hAnsi="Cambria Math"/>
                  </w:rPr>
                  <m:t>njt</m:t>
                </m:r>
              </m:sub>
            </m:sSub>
          </m:den>
        </m:f>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m</m:t>
            </m:r>
          </m:sup>
        </m:sSubSup>
      </m:oMath>
      <w:r w:rsidR="00AD427F">
        <w:t xml:space="preserve">  (3)</w:t>
      </w:r>
    </w:p>
    <w:p w:rsidR="001C5006" w:rsidRDefault="00A92D31">
      <w:pPr>
        <w:pStyle w:val="NormalWeb"/>
      </w:pPr>
      <w:r>
        <w:t> </w:t>
      </w:r>
    </w:p>
    <w:p w:rsidR="001C5006" w:rsidRDefault="00A92D31">
      <w:pPr>
        <w:pStyle w:val="NormalWeb"/>
      </w:pPr>
      <w:r>
        <w:t>unde:</w:t>
      </w:r>
    </w:p>
    <w:p w:rsidR="00EF2A98" w:rsidRDefault="00A726DA">
      <w:pPr>
        <w:pStyle w:val="NormalWeb"/>
      </w:pPr>
      <m:oMath>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njt</m:t>
            </m:r>
          </m:sub>
          <m:sup>
            <m:r>
              <w:rPr>
                <w:rFonts w:ascii="Cambria Math" w:hAnsi="Cambria Math"/>
              </w:rPr>
              <m:t>m</m:t>
            </m:r>
          </m:sup>
        </m:sSubSup>
      </m:oMath>
      <w:r w:rsidR="00A92D31">
        <w:t xml:space="preserve"> – tariful pentru serviciul de distribu</w:t>
      </w:r>
      <w:r w:rsidR="00782F78">
        <w:t>ț</w:t>
      </w:r>
      <w:r w:rsidR="00A92D31">
        <w:t>ie a energiei electrice prestat de OSD în anul “n” prin re</w:t>
      </w:r>
      <w:r w:rsidR="00782F78">
        <w:t>ț</w:t>
      </w:r>
      <w:r w:rsidR="00A92D31">
        <w:t>elele electrice de distribu</w:t>
      </w:r>
      <w:r w:rsidR="00782F78">
        <w:t>ț</w:t>
      </w:r>
      <w:r w:rsidR="00A92D31">
        <w:t xml:space="preserve">ie de tensiune înaltă, medie </w:t>
      </w:r>
      <w:r w:rsidR="00782F78">
        <w:t>ș</w:t>
      </w:r>
      <w:r w:rsidR="00A92D31">
        <w:t>i joasă lei/kWh;</w:t>
      </w:r>
    </w:p>
    <w:p w:rsidR="001C5006" w:rsidRDefault="00A92D31">
      <w:pPr>
        <w:pStyle w:val="NormalWeb"/>
      </w:pPr>
      <w:r>
        <w:rPr>
          <w:i/>
          <w:iCs/>
        </w:rPr>
        <w:t>VD</w:t>
      </w:r>
      <w:r>
        <w:rPr>
          <w:i/>
          <w:iCs/>
          <w:vertAlign w:val="subscript"/>
        </w:rPr>
        <w:t>nit</w:t>
      </w:r>
      <w:r>
        <w:rPr>
          <w:i/>
          <w:iCs/>
        </w:rPr>
        <w:t>; VD</w:t>
      </w:r>
      <w:r>
        <w:rPr>
          <w:i/>
          <w:iCs/>
          <w:vertAlign w:val="subscript"/>
        </w:rPr>
        <w:t>nmt</w:t>
      </w:r>
      <w:r>
        <w:rPr>
          <w:i/>
          <w:iCs/>
        </w:rPr>
        <w:t>; VD</w:t>
      </w:r>
      <w:r>
        <w:rPr>
          <w:i/>
          <w:iCs/>
          <w:vertAlign w:val="subscript"/>
        </w:rPr>
        <w:t>njt</w:t>
      </w:r>
      <w:r>
        <w:t xml:space="preserve"> – venitul necesar de a fi ob</w:t>
      </w:r>
      <w:r w:rsidR="00782F78">
        <w:t>ț</w:t>
      </w:r>
      <w:r>
        <w:t>inut de OSD în anul “n” de la prestarea serviciului de distribu</w:t>
      </w:r>
      <w:r w:rsidR="00782F78">
        <w:t>ț</w:t>
      </w:r>
      <w:r>
        <w:t>ie a energiei electrice prin re</w:t>
      </w:r>
      <w:r w:rsidR="00782F78">
        <w:t>ț</w:t>
      </w:r>
      <w:r>
        <w:t xml:space="preserve">elele de tensiune înaltă, medie </w:t>
      </w:r>
      <w:r w:rsidR="00782F78">
        <w:t>ș</w:t>
      </w:r>
      <w:r>
        <w:t>i joasă, stabilit pentru acoperirea costurilor reale de distribu</w:t>
      </w:r>
      <w:r w:rsidR="00782F78">
        <w:t>ț</w:t>
      </w:r>
      <w:r>
        <w:t xml:space="preserve">ie </w:t>
      </w:r>
      <w:r w:rsidR="00782F78">
        <w:t>ș</w:t>
      </w:r>
      <w:r>
        <w:t>i pentru asigurarea viabilită</w:t>
      </w:r>
      <w:r w:rsidR="00782F78">
        <w:t>ț</w:t>
      </w:r>
      <w:r>
        <w:t>ii financiare a OSD lei;</w:t>
      </w:r>
    </w:p>
    <w:p w:rsidR="001C5006" w:rsidRDefault="00A92D31">
      <w:pPr>
        <w:pStyle w:val="NormalWeb"/>
      </w:pPr>
      <w:r>
        <w:rPr>
          <w:i/>
          <w:iCs/>
        </w:rPr>
        <w:t>ED</w:t>
      </w:r>
      <w:r>
        <w:rPr>
          <w:i/>
          <w:iCs/>
          <w:vertAlign w:val="subscript"/>
        </w:rPr>
        <w:t>nt</w:t>
      </w:r>
      <w:r>
        <w:rPr>
          <w:i/>
          <w:iCs/>
        </w:rPr>
        <w:t>–</w:t>
      </w:r>
      <w:r>
        <w:t xml:space="preserve"> cantitatea de energie electrică distribuită pe toate nivelele de tensiune ale re</w:t>
      </w:r>
      <w:r w:rsidR="00782F78">
        <w:t>ț</w:t>
      </w:r>
      <w:r>
        <w:t>elelor electrice de distribu</w:t>
      </w:r>
      <w:r w:rsidR="00782F78">
        <w:t>ț</w:t>
      </w:r>
      <w:r>
        <w:t>ie tuturor consumatorilor finali ale căror instala</w:t>
      </w:r>
      <w:r w:rsidR="00782F78">
        <w:t>ț</w:t>
      </w:r>
      <w:r>
        <w:t>ii electrice sunt racordate la aceste re</w:t>
      </w:r>
      <w:r w:rsidR="00782F78">
        <w:t>ț</w:t>
      </w:r>
      <w:r>
        <w:t>ele, kWh.:</w:t>
      </w:r>
    </w:p>
    <w:p w:rsidR="001C5006" w:rsidRDefault="00A92D31">
      <w:pPr>
        <w:pStyle w:val="NormalWeb"/>
      </w:pPr>
      <w:r>
        <w:t> </w:t>
      </w:r>
    </w:p>
    <w:p w:rsidR="001C5006" w:rsidRDefault="00A92D31">
      <w:pPr>
        <w:pStyle w:val="cn"/>
      </w:pPr>
      <w:r>
        <w:rPr>
          <w:i/>
          <w:iCs/>
        </w:rPr>
        <w:t>ED</w:t>
      </w:r>
      <w:r>
        <w:rPr>
          <w:i/>
          <w:iCs/>
          <w:vertAlign w:val="subscript"/>
        </w:rPr>
        <w:t>nt</w:t>
      </w:r>
      <w:r>
        <w:rPr>
          <w:i/>
          <w:iCs/>
        </w:rPr>
        <w:t xml:space="preserve"> = ED</w:t>
      </w:r>
      <w:r w:rsidR="00AD427F">
        <w:rPr>
          <w:i/>
          <w:iCs/>
          <w:vertAlign w:val="subscript"/>
        </w:rPr>
        <w:t>nî</w:t>
      </w:r>
      <w:r>
        <w:rPr>
          <w:i/>
          <w:iCs/>
          <w:vertAlign w:val="subscript"/>
        </w:rPr>
        <w:t>t</w:t>
      </w:r>
      <w:r>
        <w:rPr>
          <w:i/>
          <w:iCs/>
        </w:rPr>
        <w:t xml:space="preserve"> + ED</w:t>
      </w:r>
      <w:r>
        <w:rPr>
          <w:i/>
          <w:iCs/>
          <w:vertAlign w:val="subscript"/>
        </w:rPr>
        <w:t>nmt</w:t>
      </w:r>
      <w:r>
        <w:rPr>
          <w:i/>
          <w:iCs/>
        </w:rPr>
        <w:t xml:space="preserve"> + ED</w:t>
      </w:r>
      <w:r>
        <w:rPr>
          <w:i/>
          <w:iCs/>
          <w:vertAlign w:val="subscript"/>
        </w:rPr>
        <w:t>njt</w:t>
      </w:r>
      <w:r>
        <w:t xml:space="preserve"> (4)</w:t>
      </w:r>
    </w:p>
    <w:p w:rsidR="001C5006" w:rsidRDefault="00A92D31">
      <w:pPr>
        <w:pStyle w:val="NormalWeb"/>
      </w:pPr>
      <w:r>
        <w:t> </w:t>
      </w:r>
    </w:p>
    <w:p w:rsidR="001C5006" w:rsidRDefault="00A92D31">
      <w:pPr>
        <w:pStyle w:val="NormalWeb"/>
      </w:pPr>
      <w:r>
        <w:t>unde:</w:t>
      </w:r>
    </w:p>
    <w:p w:rsidR="001C5006" w:rsidRDefault="00A92D31">
      <w:pPr>
        <w:pStyle w:val="NormalWeb"/>
      </w:pPr>
      <w:r>
        <w:rPr>
          <w:i/>
          <w:iCs/>
        </w:rPr>
        <w:t>ED</w:t>
      </w:r>
      <w:r w:rsidR="00AD427F">
        <w:rPr>
          <w:i/>
          <w:iCs/>
          <w:vertAlign w:val="subscript"/>
        </w:rPr>
        <w:t>nî</w:t>
      </w:r>
      <w:r>
        <w:rPr>
          <w:i/>
          <w:iCs/>
          <w:vertAlign w:val="subscript"/>
        </w:rPr>
        <w:t>t</w:t>
      </w:r>
      <w:r>
        <w:rPr>
          <w:i/>
          <w:iCs/>
        </w:rPr>
        <w:t xml:space="preserve"> – </w:t>
      </w:r>
      <w:r>
        <w:t>cantitatea de energie electrică distribuită în anul “n” prin re</w:t>
      </w:r>
      <w:r w:rsidR="00782F78">
        <w:t>ț</w:t>
      </w:r>
      <w:r>
        <w:t>elele electrice de distribu</w:t>
      </w:r>
      <w:r w:rsidR="00782F78">
        <w:t>ț</w:t>
      </w:r>
      <w:r>
        <w:t>ie pentru consumatorii finali ale căror instala</w:t>
      </w:r>
      <w:r w:rsidR="00782F78">
        <w:t>ț</w:t>
      </w:r>
      <w:r>
        <w:t>ii electrice sunt racordate la re</w:t>
      </w:r>
      <w:r w:rsidR="00782F78">
        <w:t>ț</w:t>
      </w:r>
      <w:r>
        <w:t>elele electrice de distribu</w:t>
      </w:r>
      <w:r w:rsidR="00782F78">
        <w:t>ț</w:t>
      </w:r>
      <w:r>
        <w:t>ie de tensiune înaltă, kWh.;</w:t>
      </w:r>
    </w:p>
    <w:p w:rsidR="001C5006" w:rsidRDefault="00A92D31">
      <w:pPr>
        <w:pStyle w:val="NormalWeb"/>
      </w:pPr>
      <w:r>
        <w:rPr>
          <w:i/>
          <w:iCs/>
        </w:rPr>
        <w:t>ED</w:t>
      </w:r>
      <w:r>
        <w:rPr>
          <w:i/>
          <w:iCs/>
          <w:vertAlign w:val="subscript"/>
        </w:rPr>
        <w:t xml:space="preserve">nmt </w:t>
      </w:r>
      <w:r>
        <w:rPr>
          <w:i/>
          <w:iCs/>
        </w:rPr>
        <w:t xml:space="preserve">– </w:t>
      </w:r>
      <w:r>
        <w:t>cantitatea de energie electrică distribuită în anul “n” prin re</w:t>
      </w:r>
      <w:r w:rsidR="00782F78">
        <w:t>ț</w:t>
      </w:r>
      <w:r>
        <w:t>elele electrice de distribu</w:t>
      </w:r>
      <w:r w:rsidR="00782F78">
        <w:t>ț</w:t>
      </w:r>
      <w:r>
        <w:t>ie pentru consumatorii finali ale căror instala</w:t>
      </w:r>
      <w:r w:rsidR="00782F78">
        <w:t>ț</w:t>
      </w:r>
      <w:r>
        <w:t>ii electrice sunt racordate la re</w:t>
      </w:r>
      <w:r w:rsidR="00782F78">
        <w:t>ț</w:t>
      </w:r>
      <w:r>
        <w:t>elele electrice de distribu</w:t>
      </w:r>
      <w:r w:rsidR="00782F78">
        <w:t>ț</w:t>
      </w:r>
      <w:r>
        <w:t>ie de tensiune medie, kWh;</w:t>
      </w:r>
    </w:p>
    <w:p w:rsidR="001C5006" w:rsidRDefault="00A92D31">
      <w:pPr>
        <w:pStyle w:val="NormalWeb"/>
      </w:pPr>
      <w:r>
        <w:rPr>
          <w:i/>
          <w:iCs/>
        </w:rPr>
        <w:t>ED</w:t>
      </w:r>
      <w:r>
        <w:rPr>
          <w:i/>
          <w:iCs/>
          <w:vertAlign w:val="subscript"/>
        </w:rPr>
        <w:t>njt</w:t>
      </w:r>
      <w:r>
        <w:rPr>
          <w:i/>
          <w:iCs/>
        </w:rPr>
        <w:t xml:space="preserve"> – </w:t>
      </w:r>
      <w:r>
        <w:t>cantitatea de energie electrică distribuită în anul “n” prin re</w:t>
      </w:r>
      <w:r w:rsidR="00782F78">
        <w:t>ț</w:t>
      </w:r>
      <w:r>
        <w:t>elele electrice de distribu</w:t>
      </w:r>
      <w:r w:rsidR="00782F78">
        <w:t>ț</w:t>
      </w:r>
      <w:r>
        <w:t>ie pentru consumatorii finali ale căror instala</w:t>
      </w:r>
      <w:r w:rsidR="00782F78">
        <w:t>ț</w:t>
      </w:r>
      <w:r>
        <w:t>ii electrice sunt racordate la re</w:t>
      </w:r>
      <w:r w:rsidR="00782F78">
        <w:t>ț</w:t>
      </w:r>
      <w:r>
        <w:t>elele electrice de distribu</w:t>
      </w:r>
      <w:r w:rsidR="00782F78">
        <w:t>ț</w:t>
      </w:r>
      <w:r>
        <w:t xml:space="preserve">ie de tensiune joasă, kWh; </w:t>
      </w:r>
    </w:p>
    <w:p w:rsidR="001C5006" w:rsidRDefault="00A92D31">
      <w:pPr>
        <w:pStyle w:val="NormalWeb"/>
      </w:pPr>
      <w:r>
        <w:t>Cantitatea de energie electrică distribuită prin fiecare tip de re</w:t>
      </w:r>
      <w:r w:rsidR="00782F78">
        <w:t>ț</w:t>
      </w:r>
      <w:r>
        <w:t xml:space="preserve">ea (,,TÎ”, ,,TM” </w:t>
      </w:r>
      <w:r w:rsidR="00782F78">
        <w:t>ș</w:t>
      </w:r>
      <w:r>
        <w:t>i ,,TJ”) se determină ca suma cantită</w:t>
      </w:r>
      <w:r w:rsidR="00782F78">
        <w:t>ț</w:t>
      </w:r>
      <w:r>
        <w:t>ii totale de energie electrică distribuită în anul ,,n” tuturor consumatorilor finali ale căror instala</w:t>
      </w:r>
      <w:r w:rsidR="00782F78">
        <w:t>ț</w:t>
      </w:r>
      <w:r>
        <w:t>ii electrice sunt racordate la re</w:t>
      </w:r>
      <w:r w:rsidR="00782F78">
        <w:t>ț</w:t>
      </w:r>
      <w:r>
        <w:t>eaua electrică de distribu</w:t>
      </w:r>
      <w:r w:rsidR="00782F78">
        <w:t>ț</w:t>
      </w:r>
      <w:r>
        <w:t>ie cu nivelul respectiv de tensiune.</w:t>
      </w:r>
    </w:p>
    <w:p w:rsidR="001C5006" w:rsidRDefault="00A92D31">
      <w:pPr>
        <w:pStyle w:val="NormalWeb"/>
      </w:pPr>
      <w:r>
        <w:rPr>
          <w:i/>
          <w:iCs/>
        </w:rPr>
        <w:lastRenderedPageBreak/>
        <w:t>CD</w:t>
      </w:r>
      <w:r>
        <w:rPr>
          <w:i/>
          <w:iCs/>
          <w:vertAlign w:val="subscript"/>
        </w:rPr>
        <w:t>n</w:t>
      </w:r>
      <w:r w:rsidR="00AD427F">
        <w:rPr>
          <w:i/>
          <w:iCs/>
          <w:vertAlign w:val="subscript"/>
        </w:rPr>
        <w:t>î</w:t>
      </w:r>
      <w:r>
        <w:rPr>
          <w:i/>
          <w:iCs/>
          <w:vertAlign w:val="subscript"/>
        </w:rPr>
        <w:t>t</w:t>
      </w:r>
      <w:r>
        <w:rPr>
          <w:i/>
          <w:iCs/>
        </w:rPr>
        <w:t>; CD</w:t>
      </w:r>
      <w:r>
        <w:rPr>
          <w:i/>
          <w:iCs/>
          <w:vertAlign w:val="subscript"/>
        </w:rPr>
        <w:t>nmt</w:t>
      </w:r>
      <w:r>
        <w:rPr>
          <w:i/>
          <w:iCs/>
        </w:rPr>
        <w:t>; CD</w:t>
      </w:r>
      <w:r>
        <w:rPr>
          <w:i/>
          <w:iCs/>
          <w:vertAlign w:val="subscript"/>
        </w:rPr>
        <w:t>njt</w:t>
      </w:r>
      <w:r>
        <w:t xml:space="preserve"> – costurile activită</w:t>
      </w:r>
      <w:r w:rsidR="00782F78">
        <w:t>ț</w:t>
      </w:r>
      <w:r>
        <w:t>ii de distribu</w:t>
      </w:r>
      <w:r w:rsidR="00782F78">
        <w:t>ț</w:t>
      </w:r>
      <w:r>
        <w:t>ie a energiei electrice în anul “n”, aferente re</w:t>
      </w:r>
      <w:r w:rsidR="00782F78">
        <w:t>ț</w:t>
      </w:r>
      <w:r>
        <w:t>elelor electrice de distribu</w:t>
      </w:r>
      <w:r w:rsidR="00782F78">
        <w:t>ț</w:t>
      </w:r>
      <w:r>
        <w:t xml:space="preserve">ie de înaltă, de medie </w:t>
      </w:r>
      <w:r w:rsidR="00782F78">
        <w:t>ș</w:t>
      </w:r>
      <w:r>
        <w:t>i de tensiune joasă lei;</w:t>
      </w:r>
    </w:p>
    <w:p w:rsidR="001C5006" w:rsidRDefault="00A92D31">
      <w:pPr>
        <w:pStyle w:val="NormalWeb"/>
      </w:pPr>
      <w:r>
        <w:rPr>
          <w:i/>
          <w:iCs/>
        </w:rPr>
        <w:t>RA</w:t>
      </w:r>
      <w:r>
        <w:rPr>
          <w:i/>
          <w:iCs/>
          <w:vertAlign w:val="subscript"/>
        </w:rPr>
        <w:t>nit</w:t>
      </w:r>
      <w:r>
        <w:rPr>
          <w:i/>
          <w:iCs/>
        </w:rPr>
        <w:t>; RA</w:t>
      </w:r>
      <w:r>
        <w:rPr>
          <w:i/>
          <w:iCs/>
          <w:vertAlign w:val="subscript"/>
        </w:rPr>
        <w:t>nmt</w:t>
      </w:r>
      <w:r>
        <w:rPr>
          <w:i/>
          <w:iCs/>
        </w:rPr>
        <w:t>; RA</w:t>
      </w:r>
      <w:r>
        <w:rPr>
          <w:i/>
          <w:iCs/>
          <w:vertAlign w:val="subscript"/>
        </w:rPr>
        <w:t>njt</w:t>
      </w:r>
      <w:r>
        <w:t xml:space="preserve"> –rentabilitatea mijloacelor fixe </w:t>
      </w:r>
      <w:r w:rsidR="00782F78">
        <w:t>ș</w:t>
      </w:r>
      <w:r>
        <w:t>i imobilizărilor necorporale utilizate în activitatea de distribu</w:t>
      </w:r>
      <w:r w:rsidR="00782F78">
        <w:t>ț</w:t>
      </w:r>
      <w:r>
        <w:t>ie a energiei electrice în anul “n”, aferentă re</w:t>
      </w:r>
      <w:r w:rsidR="00782F78">
        <w:t>ț</w:t>
      </w:r>
      <w:r>
        <w:t>elelor electrice de distribu</w:t>
      </w:r>
      <w:r w:rsidR="00782F78">
        <w:t>ț</w:t>
      </w:r>
      <w:r>
        <w:t xml:space="preserve">ie de tensiune înaltă, medie </w:t>
      </w:r>
      <w:r w:rsidR="00782F78">
        <w:t>ș</w:t>
      </w:r>
      <w:r>
        <w:t xml:space="preserve">i joasă, lei. Rentabilitatea mijloacelor fixe </w:t>
      </w:r>
      <w:r w:rsidR="00782F78">
        <w:t>ș</w:t>
      </w:r>
      <w:r>
        <w:t>i imobilizărilor necorporale în anul “n” aferentă fiecărui tip de re</w:t>
      </w:r>
      <w:r w:rsidR="00782F78">
        <w:t>ț</w:t>
      </w:r>
      <w:r>
        <w:t>ea, în parte, se determină conform următoarelor formule:</w:t>
      </w:r>
    </w:p>
    <w:p w:rsidR="001C5006" w:rsidRDefault="00A92D31">
      <w:pPr>
        <w:pStyle w:val="NormalWeb"/>
      </w:pPr>
      <w:r>
        <w:t>1) pentru re</w:t>
      </w:r>
      <w:r w:rsidR="00782F78">
        <w:t>ț</w:t>
      </w:r>
      <w:r>
        <w:t>elele electrice de distribu</w:t>
      </w:r>
      <w:r w:rsidR="00782F78">
        <w:t>ț</w:t>
      </w:r>
      <w:r w:rsidR="001B0598">
        <w:t>ie de tensiune înaltă:</w:t>
      </w:r>
    </w:p>
    <w:p w:rsidR="001C5006" w:rsidRDefault="00A92D31">
      <w:pPr>
        <w:pStyle w:val="NormalWeb"/>
      </w:pPr>
      <w:r>
        <w:t> </w:t>
      </w:r>
    </w:p>
    <w:p w:rsidR="00D94F29" w:rsidRDefault="00A726DA">
      <w:pPr>
        <w:pStyle w:val="cn"/>
      </w:pPr>
      <m:oMathPara>
        <m:oMath>
          <m:sSub>
            <m:sSubPr>
              <m:ctrlPr>
                <w:rPr>
                  <w:rFonts w:ascii="Cambria Math" w:hAnsi="Cambria Math"/>
                  <w:i/>
                </w:rPr>
              </m:ctrlPr>
            </m:sSubPr>
            <m:e>
              <m:r>
                <w:rPr>
                  <w:rFonts w:ascii="Cambria Math" w:hAnsi="Cambria Math"/>
                </w:rPr>
                <m:t>RA</m:t>
              </m:r>
            </m:e>
            <m:sub>
              <m:r>
                <w:rPr>
                  <w:rFonts w:ascii="Cambria Math" w:hAnsi="Cambria Math"/>
                </w:rPr>
                <m:t>nît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RA</m:t>
                  </m:r>
                </m:e>
                <m:sub>
                  <m:r>
                    <w:rPr>
                      <w:rFonts w:ascii="Cambria Math" w:hAnsi="Cambria Math"/>
                    </w:rPr>
                    <m:t>nt</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nît</m:t>
              </m:r>
            </m:sub>
          </m:sSub>
          <m:r>
            <w:rPr>
              <w:rFonts w:ascii="Cambria Math" w:hAnsi="Cambria Math"/>
            </w:rPr>
            <m:t xml:space="preserve">  (5)</m:t>
          </m:r>
        </m:oMath>
      </m:oMathPara>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rsidR="001B0598">
        <w:t>ie de tensiune medie:</w:t>
      </w:r>
    </w:p>
    <w:p w:rsidR="001C5006" w:rsidRDefault="00A92D31">
      <w:pPr>
        <w:pStyle w:val="NormalWeb"/>
      </w:pPr>
      <w:r>
        <w:t> </w:t>
      </w:r>
    </w:p>
    <w:p w:rsidR="00D94F29" w:rsidRDefault="00A726DA">
      <w:pPr>
        <w:pStyle w:val="NormalWeb"/>
        <w:jc w:val="center"/>
      </w:pPr>
      <m:oMathPara>
        <m:oMath>
          <m:sSub>
            <m:sSubPr>
              <m:ctrlPr>
                <w:rPr>
                  <w:rFonts w:ascii="Cambria Math" w:hAnsi="Cambria Math"/>
                  <w:i/>
                </w:rPr>
              </m:ctrlPr>
            </m:sSubPr>
            <m:e>
              <m:r>
                <w:rPr>
                  <w:rFonts w:ascii="Cambria Math" w:hAnsi="Cambria Math"/>
                </w:rPr>
                <m:t>RA</m:t>
              </m:r>
            </m:e>
            <m:sub>
              <m:r>
                <w:rPr>
                  <w:rFonts w:ascii="Cambria Math" w:hAnsi="Cambria Math"/>
                </w:rPr>
                <m:t>nmt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RA</m:t>
                  </m:r>
                </m:e>
                <m:sub>
                  <m:r>
                    <w:rPr>
                      <w:rFonts w:ascii="Cambria Math" w:hAnsi="Cambria Math"/>
                    </w:rPr>
                    <m:t>nt</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nmt</m:t>
              </m:r>
            </m:sub>
          </m:sSub>
          <m:r>
            <w:rPr>
              <w:rFonts w:ascii="Cambria Math" w:hAnsi="Cambria Math"/>
            </w:rPr>
            <m:t xml:space="preserve">   (6)</m:t>
          </m:r>
        </m:oMath>
      </m:oMathPara>
    </w:p>
    <w:p w:rsidR="001C5006" w:rsidRDefault="00A92D31">
      <w:pPr>
        <w:pStyle w:val="NormalWeb"/>
        <w:jc w:val="left"/>
      </w:pPr>
      <w:r>
        <w:t>3) pentru re</w:t>
      </w:r>
      <w:r w:rsidR="00782F78">
        <w:t>ț</w:t>
      </w:r>
      <w:r>
        <w:t>elele electrice de distribu</w:t>
      </w:r>
      <w:r w:rsidR="00782F78">
        <w:t>ț</w:t>
      </w:r>
      <w:r w:rsidR="001B0598">
        <w:t>ie de tensiune joasă:</w:t>
      </w:r>
    </w:p>
    <w:p w:rsidR="001C5006" w:rsidRDefault="00A92D31">
      <w:pPr>
        <w:pStyle w:val="NormalWeb"/>
      </w:pPr>
      <w:r>
        <w:t> </w:t>
      </w:r>
    </w:p>
    <w:p w:rsidR="00595C71" w:rsidRDefault="00A726DA">
      <w:pPr>
        <w:pStyle w:val="cn"/>
      </w:pPr>
      <m:oMathPara>
        <m:oMath>
          <m:sSub>
            <m:sSubPr>
              <m:ctrlPr>
                <w:rPr>
                  <w:rFonts w:ascii="Cambria Math" w:hAnsi="Cambria Math"/>
                  <w:i/>
                </w:rPr>
              </m:ctrlPr>
            </m:sSubPr>
            <m:e>
              <m:r>
                <w:rPr>
                  <w:rFonts w:ascii="Cambria Math" w:hAnsi="Cambria Math"/>
                </w:rPr>
                <m:t>RA</m:t>
              </m:r>
            </m:e>
            <m:sub>
              <m:r>
                <w:rPr>
                  <w:rFonts w:ascii="Cambria Math" w:hAnsi="Cambria Math"/>
                </w:rPr>
                <m:t>njt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RA</m:t>
                  </m:r>
                </m:e>
                <m:sub>
                  <m:r>
                    <w:rPr>
                      <w:rFonts w:ascii="Cambria Math" w:hAnsi="Cambria Math"/>
                    </w:rPr>
                    <m:t>nt</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njt</m:t>
              </m:r>
            </m:sub>
          </m:sSub>
          <m:r>
            <w:rPr>
              <w:rFonts w:ascii="Cambria Math" w:hAnsi="Cambria Math"/>
            </w:rPr>
            <m:t xml:space="preserve">   (7)</m:t>
          </m:r>
        </m:oMath>
      </m:oMathPara>
    </w:p>
    <w:p w:rsidR="001C5006" w:rsidRDefault="00A92D31">
      <w:pPr>
        <w:pStyle w:val="NormalWeb"/>
      </w:pPr>
      <w:r>
        <w:t>unde:</w:t>
      </w:r>
    </w:p>
    <w:p w:rsidR="001C5006" w:rsidRDefault="00A92D31">
      <w:pPr>
        <w:pStyle w:val="NormalWeb"/>
      </w:pPr>
      <w:r>
        <w:rPr>
          <w:i/>
          <w:iCs/>
        </w:rPr>
        <w:t>RA</w:t>
      </w:r>
      <w:r>
        <w:rPr>
          <w:i/>
          <w:iCs/>
          <w:vertAlign w:val="subscript"/>
        </w:rPr>
        <w:t>nt</w:t>
      </w:r>
      <w:r>
        <w:t xml:space="preserve"> – rentabilitatea totală a mijloacelor fixe </w:t>
      </w:r>
      <w:r w:rsidR="00782F78">
        <w:t>ș</w:t>
      </w:r>
      <w:r>
        <w:t>i imobilizărilor necorporale ale OSD în anul “n”, determinată în conformitate cu prevederile Sec</w:t>
      </w:r>
      <w:r w:rsidR="00782F78">
        <w:t>ț</w:t>
      </w:r>
      <w:r>
        <w:t>iunii 6 din Metodologie;</w:t>
      </w:r>
    </w:p>
    <w:p w:rsidR="001C5006" w:rsidRDefault="00A92D31">
      <w:pPr>
        <w:pStyle w:val="NormalWeb"/>
      </w:pPr>
      <w:r>
        <w:rPr>
          <w:i/>
          <w:iCs/>
        </w:rPr>
        <w:t>VBAD</w:t>
      </w:r>
      <w:r>
        <w:rPr>
          <w:i/>
          <w:iCs/>
          <w:vertAlign w:val="subscript"/>
        </w:rPr>
        <w:t xml:space="preserve">nt </w:t>
      </w:r>
      <w:r>
        <w:rPr>
          <w:vertAlign w:val="subscript"/>
        </w:rPr>
        <w:t>–</w:t>
      </w:r>
      <w:r>
        <w:t xml:space="preserve"> valoarea contabilă a mijloacelor fixe ale OSD </w:t>
      </w:r>
      <w:r w:rsidR="00552E32" w:rsidRPr="00886D0B">
        <w:rPr>
          <w:sz w:val="22"/>
          <w:szCs w:val="22"/>
          <w:lang w:val="ro-RO"/>
        </w:rPr>
        <w:t>la începutul anului</w:t>
      </w:r>
      <w:r>
        <w:t xml:space="preserve"> “n”, aferente re</w:t>
      </w:r>
      <w:r w:rsidR="00782F78">
        <w:t>ț</w:t>
      </w:r>
      <w:r>
        <w:t>elelor electrice de distribu</w:t>
      </w:r>
      <w:r w:rsidR="00782F78">
        <w:t>ț</w:t>
      </w:r>
      <w:r>
        <w:t>ie. Această valoare se determină ca suma valorilor contabile a mijloacelor fixe ale re</w:t>
      </w:r>
      <w:r w:rsidR="00782F78">
        <w:t>ț</w:t>
      </w:r>
      <w:r>
        <w:t>elelor electrice de distribu</w:t>
      </w:r>
      <w:r w:rsidR="00782F78">
        <w:t>ț</w:t>
      </w:r>
      <w:r>
        <w:t xml:space="preserve">ie de tensiune înaltă, medie </w:t>
      </w:r>
      <w:r w:rsidR="00782F78">
        <w:t>ș</w:t>
      </w:r>
      <w:r>
        <w:t>i joasă. Adică:</w:t>
      </w:r>
    </w:p>
    <w:p w:rsidR="001C5006" w:rsidRDefault="00A92D31">
      <w:pPr>
        <w:pStyle w:val="NormalWeb"/>
      </w:pPr>
      <w:r>
        <w:t> </w:t>
      </w:r>
    </w:p>
    <w:p w:rsidR="001C5006" w:rsidRDefault="00A92D31">
      <w:pPr>
        <w:pStyle w:val="cn"/>
      </w:pPr>
      <w:r>
        <w:rPr>
          <w:i/>
          <w:iCs/>
        </w:rPr>
        <w:t>VBAD</w:t>
      </w:r>
      <w:r>
        <w:rPr>
          <w:i/>
          <w:iCs/>
          <w:vertAlign w:val="subscript"/>
        </w:rPr>
        <w:t>nt</w:t>
      </w:r>
      <w:r>
        <w:rPr>
          <w:i/>
          <w:iCs/>
        </w:rPr>
        <w:t xml:space="preserve"> = VBAD</w:t>
      </w:r>
      <w:r w:rsidR="00AD2A37">
        <w:rPr>
          <w:i/>
          <w:iCs/>
          <w:vertAlign w:val="subscript"/>
        </w:rPr>
        <w:t>nî</w:t>
      </w:r>
      <w:r>
        <w:rPr>
          <w:i/>
          <w:iCs/>
          <w:vertAlign w:val="subscript"/>
        </w:rPr>
        <w:t xml:space="preserve">t </w:t>
      </w:r>
      <w:r>
        <w:rPr>
          <w:i/>
          <w:iCs/>
        </w:rPr>
        <w:t>+ VBAD</w:t>
      </w:r>
      <w:r>
        <w:rPr>
          <w:i/>
          <w:iCs/>
          <w:vertAlign w:val="subscript"/>
        </w:rPr>
        <w:t xml:space="preserve">nmt </w:t>
      </w:r>
      <w:r>
        <w:rPr>
          <w:i/>
          <w:iCs/>
        </w:rPr>
        <w:t>+ VBAD</w:t>
      </w:r>
      <w:r>
        <w:rPr>
          <w:i/>
          <w:iCs/>
          <w:vertAlign w:val="subscript"/>
        </w:rPr>
        <w:t>njt</w:t>
      </w:r>
      <w:r>
        <w:t>(8)</w:t>
      </w:r>
    </w:p>
    <w:p w:rsidR="001C5006" w:rsidRDefault="00A92D31">
      <w:pPr>
        <w:pStyle w:val="NormalWeb"/>
      </w:pPr>
      <w:r>
        <w:t> </w:t>
      </w:r>
    </w:p>
    <w:p w:rsidR="001C5006" w:rsidRDefault="00A92D31">
      <w:pPr>
        <w:pStyle w:val="NormalWeb"/>
      </w:pPr>
      <w:r>
        <w:t>unde:</w:t>
      </w:r>
    </w:p>
    <w:p w:rsidR="001C5006" w:rsidRDefault="00A92D31" w:rsidP="001B0598">
      <w:pPr>
        <w:pStyle w:val="NormalWeb"/>
        <w:spacing w:after="120"/>
      </w:pPr>
      <w:r>
        <w:rPr>
          <w:i/>
          <w:iCs/>
        </w:rPr>
        <w:t>VBAD</w:t>
      </w:r>
      <w:r w:rsidR="00AD2A37">
        <w:rPr>
          <w:i/>
          <w:iCs/>
          <w:vertAlign w:val="subscript"/>
        </w:rPr>
        <w:t>nî</w:t>
      </w:r>
      <w:r>
        <w:rPr>
          <w:i/>
          <w:iCs/>
          <w:vertAlign w:val="subscript"/>
        </w:rPr>
        <w:t>t</w:t>
      </w:r>
      <w:r>
        <w:rPr>
          <w:i/>
          <w:iCs/>
        </w:rPr>
        <w:t>; VBAD</w:t>
      </w:r>
      <w:r>
        <w:rPr>
          <w:i/>
          <w:iCs/>
          <w:vertAlign w:val="subscript"/>
        </w:rPr>
        <w:t>nmt</w:t>
      </w:r>
      <w:r>
        <w:rPr>
          <w:i/>
          <w:iCs/>
        </w:rPr>
        <w:t>; VBAD</w:t>
      </w:r>
      <w:r>
        <w:rPr>
          <w:i/>
          <w:iCs/>
          <w:vertAlign w:val="subscript"/>
        </w:rPr>
        <w:t>njt</w:t>
      </w:r>
      <w:r>
        <w:t xml:space="preserve"> – valoarea contabilă a mijloacelor fixe ale OSD în anul “n”, aferente re</w:t>
      </w:r>
      <w:r w:rsidR="00782F78">
        <w:t>ț</w:t>
      </w:r>
      <w:r>
        <w:t>elelor electrice de distribu</w:t>
      </w:r>
      <w:r w:rsidR="00782F78">
        <w:t>ț</w:t>
      </w:r>
      <w:r>
        <w:t xml:space="preserve">ie de tensiune înaltă, medie </w:t>
      </w:r>
      <w:r w:rsidR="00782F78">
        <w:t>ș</w:t>
      </w:r>
      <w:r>
        <w:t>i joasă.</w:t>
      </w:r>
    </w:p>
    <w:p w:rsidR="001C5006" w:rsidRDefault="00A92D31">
      <w:pPr>
        <w:pStyle w:val="NormalWeb"/>
      </w:pPr>
      <w:r>
        <w:rPr>
          <w:b/>
          <w:bCs/>
        </w:rPr>
        <w:t>10.</w:t>
      </w:r>
      <w:r>
        <w:t xml:space="preserve"> În cazul determinării tarifelor pentru serviciul de distribu</w:t>
      </w:r>
      <w:r w:rsidR="00782F78">
        <w:t>ț</w:t>
      </w:r>
      <w:r>
        <w:t>ie a energiei electrice pentru un kW putere contractată, acestea trebuie să asigure ob</w:t>
      </w:r>
      <w:r w:rsidR="00782F78">
        <w:t>ț</w:t>
      </w:r>
      <w:r>
        <w:t>inerea de către OSD a acelora</w:t>
      </w:r>
      <w:r w:rsidR="00782F78">
        <w:t>ș</w:t>
      </w:r>
      <w:r>
        <w:t xml:space="preserve">i venituri ca </w:t>
      </w:r>
      <w:r w:rsidR="00782F78">
        <w:t>ș</w:t>
      </w:r>
      <w:r>
        <w:t>i în cazul tarifelor determinate la 1 kWh energie electrică distribuită. La determinarea tarifelor pentru serviciul de distribu</w:t>
      </w:r>
      <w:r w:rsidR="00782F78">
        <w:t>ț</w:t>
      </w:r>
      <w:r>
        <w:t>ie a energiei electrice, men</w:t>
      </w:r>
      <w:r w:rsidR="00782F78">
        <w:t>ț</w:t>
      </w:r>
      <w:r>
        <w:t>ionate se utilizează aceia</w:t>
      </w:r>
      <w:r w:rsidR="00782F78">
        <w:t>ș</w:t>
      </w:r>
      <w:r>
        <w:t xml:space="preserve">i parametri </w:t>
      </w:r>
      <w:r w:rsidR="00782F78">
        <w:t>ș</w:t>
      </w:r>
      <w:r>
        <w:t>i elemente, aplicate la calcularea tarifelor pentru serviciul de distribu</w:t>
      </w:r>
      <w:r w:rsidR="00782F78">
        <w:t>ț</w:t>
      </w:r>
      <w:r>
        <w:t>ie a energiei electrice pentru un kWh, excep</w:t>
      </w:r>
      <w:r w:rsidR="00782F78">
        <w:t>ț</w:t>
      </w:r>
      <w:r>
        <w:t>ie fiind înlocuirea în formulele de calcul a cantită</w:t>
      </w:r>
      <w:r w:rsidR="00782F78">
        <w:t>ț</w:t>
      </w:r>
      <w:r>
        <w:t>ii de energie electrică distribuită cu parametrul puterea contractată de consumatorii finali. Tariful pentru serviciul de distribu</w:t>
      </w:r>
      <w:r w:rsidR="00782F78">
        <w:t>ț</w:t>
      </w:r>
      <w:r>
        <w:t xml:space="preserve">ie a energiei electrice pentru un kW putere contractată, stabilit pentru consumatorii finali, pentru anul “n” se va determina conform formulelor: </w:t>
      </w:r>
    </w:p>
    <w:p w:rsidR="001C5006" w:rsidRDefault="00A92D31">
      <w:pPr>
        <w:pStyle w:val="NormalWeb"/>
      </w:pPr>
      <w:r>
        <w:t>1) Pentru serviciul de distribu</w:t>
      </w:r>
      <w:r w:rsidR="00782F78">
        <w:t>ț</w:t>
      </w:r>
      <w:r>
        <w:t>ie a energiei electrice, prestat prin re</w:t>
      </w:r>
      <w:r w:rsidR="00782F78">
        <w:t>ț</w:t>
      </w:r>
      <w:r>
        <w:t>elele electrice de distribu</w:t>
      </w:r>
      <w:r w:rsidR="00782F78">
        <w:t>ț</w:t>
      </w:r>
      <w:r>
        <w:t>ie de tensiune înaltă:</w:t>
      </w:r>
    </w:p>
    <w:p w:rsidR="001C5006" w:rsidRDefault="00A92D31">
      <w:pPr>
        <w:pStyle w:val="NormalWeb"/>
      </w:pPr>
      <w:r>
        <w:t> </w:t>
      </w:r>
    </w:p>
    <w:p w:rsidR="00595C71" w:rsidRPr="00595C71" w:rsidRDefault="00A726DA">
      <w:pPr>
        <w:pStyle w:val="cn"/>
      </w:pPr>
      <m:oMathPara>
        <m:oMath>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b</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nît</m:t>
                  </m:r>
                </m:sub>
              </m:sSub>
            </m:num>
            <m:den>
              <m:sSub>
                <m:sSubPr>
                  <m:ctrlPr>
                    <w:rPr>
                      <w:rFonts w:ascii="Cambria Math" w:hAnsi="Cambria Math"/>
                      <w:i/>
                    </w:rPr>
                  </m:ctrlPr>
                </m:sSubPr>
                <m:e>
                  <m:r>
                    <w:rPr>
                      <w:rFonts w:ascii="Cambria Math" w:hAnsi="Cambria Math"/>
                    </w:rPr>
                    <m:t>PC</m:t>
                  </m:r>
                </m:e>
                <m:sub>
                  <m:r>
                    <w:rPr>
                      <w:rFonts w:ascii="Cambria Math" w:hAnsi="Cambria Math"/>
                    </w:rPr>
                    <m:t>nt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nît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nît</m:t>
                  </m:r>
                </m:sub>
              </m:sSub>
            </m:num>
            <m:den>
              <m:sSub>
                <m:sSubPr>
                  <m:ctrlPr>
                    <w:rPr>
                      <w:rFonts w:ascii="Cambria Math" w:hAnsi="Cambria Math"/>
                      <w:i/>
                    </w:rPr>
                  </m:ctrlPr>
                </m:sSubPr>
                <m:e>
                  <m:r>
                    <w:rPr>
                      <w:rFonts w:ascii="Cambria Math" w:hAnsi="Cambria Math"/>
                    </w:rPr>
                    <m:t>PC</m:t>
                  </m:r>
                </m:e>
                <m:sub>
                  <m:r>
                    <w:rPr>
                      <w:rFonts w:ascii="Cambria Math" w:hAnsi="Cambria Math"/>
                    </w:rPr>
                    <m:t>nt</m:t>
                  </m:r>
                </m:sub>
              </m:sSub>
            </m:den>
          </m:f>
          <m:r>
            <w:rPr>
              <w:rFonts w:ascii="Cambria Math" w:hAnsi="Cambria Math"/>
            </w:rPr>
            <m:t xml:space="preserve">     (9)</m:t>
          </m:r>
        </m:oMath>
      </m:oMathPara>
    </w:p>
    <w:p w:rsidR="001C5006" w:rsidRDefault="00A92D31" w:rsidP="00552E32">
      <w:pPr>
        <w:pStyle w:val="cn"/>
        <w:ind w:firstLine="567"/>
        <w:jc w:val="left"/>
      </w:pPr>
      <w:r>
        <w:t>2) Pentru serviciul de distribu</w:t>
      </w:r>
      <w:r w:rsidR="00782F78">
        <w:t>ț</w:t>
      </w:r>
      <w:r>
        <w:t>ie a energiei electrice, prestat prin re</w:t>
      </w:r>
      <w:r w:rsidR="00782F78">
        <w:t>ț</w:t>
      </w:r>
      <w:r>
        <w:t>elele electrice de distribu</w:t>
      </w:r>
      <w:r w:rsidR="00782F78">
        <w:t>ț</w:t>
      </w:r>
      <w:r>
        <w:t>ie de tensiune medie:</w:t>
      </w:r>
    </w:p>
    <w:p w:rsidR="001C5006" w:rsidRDefault="00A92D31">
      <w:pPr>
        <w:pStyle w:val="NormalWeb"/>
      </w:pPr>
      <w:r>
        <w:t> </w:t>
      </w:r>
    </w:p>
    <w:p w:rsidR="00595C71" w:rsidRDefault="00A726DA">
      <w:pPr>
        <w:pStyle w:val="cn"/>
      </w:pPr>
      <m:oMathPara>
        <m:oMath>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b</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nmt</m:t>
                  </m:r>
                </m:sub>
              </m:sSub>
            </m:num>
            <m:den>
              <m:sSub>
                <m:sSubPr>
                  <m:ctrlPr>
                    <w:rPr>
                      <w:rFonts w:ascii="Cambria Math" w:hAnsi="Cambria Math"/>
                      <w:i/>
                    </w:rPr>
                  </m:ctrlPr>
                </m:sSubPr>
                <m:e>
                  <m:r>
                    <w:rPr>
                      <w:rFonts w:ascii="Cambria Math" w:hAnsi="Cambria Math"/>
                    </w:rPr>
                    <m:t>PC</m:t>
                  </m:r>
                </m:e>
                <m:sub>
                  <m:r>
                    <w:rPr>
                      <w:rFonts w:ascii="Cambria Math" w:hAnsi="Cambria Math"/>
                    </w:rPr>
                    <m:t>nmt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nmt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nmt</m:t>
                  </m:r>
                </m:sub>
              </m:sSub>
            </m:num>
            <m:den>
              <m:sSub>
                <m:sSubPr>
                  <m:ctrlPr>
                    <w:rPr>
                      <w:rFonts w:ascii="Cambria Math" w:hAnsi="Cambria Math"/>
                      <w:i/>
                    </w:rPr>
                  </m:ctrlPr>
                </m:sSubPr>
                <m:e>
                  <m:r>
                    <w:rPr>
                      <w:rFonts w:ascii="Cambria Math" w:hAnsi="Cambria Math"/>
                    </w:rPr>
                    <m:t>PC</m:t>
                  </m:r>
                </m:e>
                <m:sub>
                  <m:r>
                    <w:rPr>
                      <w:rFonts w:ascii="Cambria Math" w:hAnsi="Cambria Math"/>
                    </w:rPr>
                    <m:t>nmt</m:t>
                  </m:r>
                </m:sub>
              </m:sSub>
              <m:r>
                <w:rPr>
                  <w:rFonts w:ascii="Cambria Math" w:hAnsi="Cambria Math"/>
                </w:rPr>
                <m:t>+</m:t>
              </m:r>
              <m:sSub>
                <m:sSubPr>
                  <m:ctrlPr>
                    <w:rPr>
                      <w:rFonts w:ascii="Cambria Math" w:hAnsi="Cambria Math"/>
                      <w:i/>
                    </w:rPr>
                  </m:ctrlPr>
                </m:sSubPr>
                <m:e>
                  <m:r>
                    <w:rPr>
                      <w:rFonts w:ascii="Cambria Math" w:hAnsi="Cambria Math"/>
                    </w:rPr>
                    <m:t>PC</m:t>
                  </m:r>
                </m:e>
                <m:sub>
                  <m:r>
                    <w:rPr>
                      <w:rFonts w:ascii="Cambria Math" w:hAnsi="Cambria Math"/>
                    </w:rPr>
                    <m:t>njt</m:t>
                  </m:r>
                </m:sub>
              </m:sSub>
            </m:den>
          </m:f>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b</m:t>
              </m:r>
            </m:sup>
          </m:sSubSup>
          <m:r>
            <w:rPr>
              <w:rFonts w:ascii="Cambria Math" w:hAnsi="Cambria Math"/>
            </w:rPr>
            <m:t xml:space="preserve">    (10)</m:t>
          </m:r>
        </m:oMath>
      </m:oMathPara>
    </w:p>
    <w:p w:rsidR="001C5006" w:rsidRDefault="00A92D31">
      <w:pPr>
        <w:pStyle w:val="NormalWeb"/>
      </w:pPr>
      <w:r>
        <w:t> </w:t>
      </w:r>
    </w:p>
    <w:p w:rsidR="001C5006" w:rsidRDefault="00A92D31">
      <w:pPr>
        <w:pStyle w:val="NormalWeb"/>
      </w:pPr>
      <w:r>
        <w:lastRenderedPageBreak/>
        <w:t>3) Pentru serviciul de distribu</w:t>
      </w:r>
      <w:r w:rsidR="00782F78">
        <w:t>ț</w:t>
      </w:r>
      <w:r>
        <w:t>ie a energiei electrice, prestat prin re</w:t>
      </w:r>
      <w:r w:rsidR="00782F78">
        <w:t>ț</w:t>
      </w:r>
      <w:r>
        <w:t>elele electrice de distribu</w:t>
      </w:r>
      <w:r w:rsidR="00782F78">
        <w:t>ț</w:t>
      </w:r>
      <w:r>
        <w:t>ie de tensiune joasă:</w:t>
      </w:r>
    </w:p>
    <w:p w:rsidR="001C5006" w:rsidRDefault="00A92D31">
      <w:pPr>
        <w:pStyle w:val="NormalWeb"/>
      </w:pPr>
      <w:r>
        <w:t> </w:t>
      </w:r>
    </w:p>
    <w:p w:rsidR="00595C71" w:rsidRDefault="00A726DA">
      <w:pPr>
        <w:pStyle w:val="cn"/>
      </w:pPr>
      <m:oMathPara>
        <m:oMath>
          <m:sSubSup>
            <m:sSubSupPr>
              <m:ctrlPr>
                <w:rPr>
                  <w:rFonts w:ascii="Cambria Math" w:hAnsi="Cambria Math"/>
                  <w:i/>
                </w:rPr>
              </m:ctrlPr>
            </m:sSubSupPr>
            <m:e>
              <m:r>
                <w:rPr>
                  <w:rFonts w:ascii="Cambria Math" w:hAnsi="Cambria Math"/>
                </w:rPr>
                <m:t>TD</m:t>
              </m:r>
            </m:e>
            <m:sub>
              <m:r>
                <w:rPr>
                  <w:rFonts w:ascii="Cambria Math" w:hAnsi="Cambria Math"/>
                </w:rPr>
                <m:t>njt</m:t>
              </m:r>
            </m:sub>
            <m:sup>
              <m:r>
                <w:rPr>
                  <w:rFonts w:ascii="Cambria Math" w:hAnsi="Cambria Math"/>
                </w:rPr>
                <m:t>b</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VD</m:t>
                  </m:r>
                </m:e>
                <m:sub>
                  <m:r>
                    <w:rPr>
                      <w:rFonts w:ascii="Cambria Math" w:hAnsi="Cambria Math"/>
                    </w:rPr>
                    <m:t>njt</m:t>
                  </m:r>
                </m:sub>
              </m:sSub>
            </m:num>
            <m:den>
              <m:sSub>
                <m:sSubPr>
                  <m:ctrlPr>
                    <w:rPr>
                      <w:rFonts w:ascii="Cambria Math" w:hAnsi="Cambria Math"/>
                      <w:i/>
                    </w:rPr>
                  </m:ctrlPr>
                </m:sSubPr>
                <m:e>
                  <m:r>
                    <w:rPr>
                      <w:rFonts w:ascii="Cambria Math" w:hAnsi="Cambria Math"/>
                    </w:rPr>
                    <m:t>PC</m:t>
                  </m:r>
                </m:e>
                <m:sub>
                  <m:r>
                    <w:rPr>
                      <w:rFonts w:ascii="Cambria Math" w:hAnsi="Cambria Math"/>
                    </w:rPr>
                    <m:t>njt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CD</m:t>
                  </m:r>
                </m:e>
                <m:sub>
                  <m:r>
                    <w:rPr>
                      <w:rFonts w:ascii="Cambria Math" w:hAnsi="Cambria Math"/>
                    </w:rPr>
                    <m:t>njt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njt</m:t>
                  </m:r>
                </m:sub>
              </m:sSub>
            </m:num>
            <m:den>
              <m:sSub>
                <m:sSubPr>
                  <m:ctrlPr>
                    <w:rPr>
                      <w:rFonts w:ascii="Cambria Math" w:hAnsi="Cambria Math"/>
                      <w:i/>
                    </w:rPr>
                  </m:ctrlPr>
                </m:sSubPr>
                <m:e>
                  <m:r>
                    <w:rPr>
                      <w:rFonts w:ascii="Cambria Math" w:hAnsi="Cambria Math"/>
                    </w:rPr>
                    <m:t>PC</m:t>
                  </m:r>
                </m:e>
                <m:sub>
                  <m:r>
                    <w:rPr>
                      <w:rFonts w:ascii="Cambria Math" w:hAnsi="Cambria Math"/>
                    </w:rPr>
                    <m:t>njt</m:t>
                  </m:r>
                </m:sub>
              </m:sSub>
            </m:den>
          </m:f>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b</m:t>
              </m:r>
            </m:sup>
          </m:sSubSup>
          <m:r>
            <w:rPr>
              <w:rFonts w:ascii="Cambria Math" w:hAnsi="Cambria Math"/>
            </w:rPr>
            <m:t xml:space="preserve">   (11)</m:t>
          </m:r>
        </m:oMath>
      </m:oMathPara>
    </w:p>
    <w:p w:rsidR="001C5006" w:rsidRDefault="00A92D31">
      <w:pPr>
        <w:pStyle w:val="NormalWeb"/>
      </w:pPr>
      <w:r>
        <w:t> </w:t>
      </w:r>
    </w:p>
    <w:p w:rsidR="001C5006" w:rsidRDefault="00A92D31">
      <w:pPr>
        <w:pStyle w:val="NormalWeb"/>
      </w:pPr>
      <w:r>
        <w:t>unde:</w:t>
      </w:r>
    </w:p>
    <w:p w:rsidR="001C5006" w:rsidRDefault="00A726DA">
      <w:pPr>
        <w:pStyle w:val="NormalWeb"/>
      </w:pPr>
      <m:oMath>
        <m:sSubSup>
          <m:sSubSupPr>
            <m:ctrlPr>
              <w:rPr>
                <w:rFonts w:ascii="Cambria Math" w:hAnsi="Cambria Math"/>
                <w:i/>
              </w:rPr>
            </m:ctrlPr>
          </m:sSubSupPr>
          <m:e>
            <m:r>
              <w:rPr>
                <w:rFonts w:ascii="Cambria Math" w:hAnsi="Cambria Math"/>
              </w:rPr>
              <m:t>TD</m:t>
            </m:r>
          </m:e>
          <m:sub>
            <m:r>
              <w:rPr>
                <w:rFonts w:ascii="Cambria Math" w:hAnsi="Cambria Math"/>
              </w:rPr>
              <m:t>nît</m:t>
            </m:r>
          </m:sub>
          <m:sup>
            <m:r>
              <w:rPr>
                <w:rFonts w:ascii="Cambria Math" w:hAnsi="Cambria Math"/>
              </w:rPr>
              <m:t>b</m:t>
            </m:r>
          </m:sup>
        </m:sSubSup>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nmt</m:t>
            </m:r>
          </m:sub>
          <m:sup>
            <m:r>
              <w:rPr>
                <w:rFonts w:ascii="Cambria Math" w:hAnsi="Cambria Math"/>
              </w:rPr>
              <m:t>b</m:t>
            </m:r>
          </m:sup>
        </m:sSubSup>
        <m:r>
          <w:rPr>
            <w:rFonts w:ascii="Cambria Math" w:hAnsi="Cambria Math"/>
          </w:rPr>
          <m:t>;</m:t>
        </m:r>
        <m:sSubSup>
          <m:sSubSupPr>
            <m:ctrlPr>
              <w:rPr>
                <w:rFonts w:ascii="Cambria Math" w:hAnsi="Cambria Math"/>
                <w:i/>
              </w:rPr>
            </m:ctrlPr>
          </m:sSubSupPr>
          <m:e>
            <m:r>
              <w:rPr>
                <w:rFonts w:ascii="Cambria Math" w:hAnsi="Cambria Math"/>
              </w:rPr>
              <m:t>TD</m:t>
            </m:r>
          </m:e>
          <m:sub>
            <m:r>
              <w:rPr>
                <w:rFonts w:ascii="Cambria Math" w:hAnsi="Cambria Math"/>
              </w:rPr>
              <m:t>njt</m:t>
            </m:r>
          </m:sub>
          <m:sup>
            <m:r>
              <w:rPr>
                <w:rFonts w:ascii="Cambria Math" w:hAnsi="Cambria Math"/>
              </w:rPr>
              <m:t>b</m:t>
            </m:r>
          </m:sup>
        </m:sSubSup>
      </m:oMath>
      <w:r w:rsidR="00A92D31">
        <w:t>– tariful anual pentru serviciul de distribu</w:t>
      </w:r>
      <w:r w:rsidR="00782F78">
        <w:t>ț</w:t>
      </w:r>
      <w:r w:rsidR="00A92D31">
        <w:t>ie a energiei electrice prestat de OSD prin re</w:t>
      </w:r>
      <w:r w:rsidR="00782F78">
        <w:t>ț</w:t>
      </w:r>
      <w:r w:rsidR="00A92D31">
        <w:t>elele electrice de distribu</w:t>
      </w:r>
      <w:r w:rsidR="00782F78">
        <w:t>ț</w:t>
      </w:r>
      <w:r w:rsidR="00A92D31">
        <w:t xml:space="preserve">ie de tensiune înaltă, de tensiune medie </w:t>
      </w:r>
      <w:r w:rsidR="00782F78">
        <w:t>ș</w:t>
      </w:r>
      <w:r w:rsidR="00A92D31">
        <w:t xml:space="preserve">i de tensiune joasă, lei/kW/an; </w:t>
      </w:r>
    </w:p>
    <w:p w:rsidR="001C5006" w:rsidRDefault="00A92D31">
      <w:pPr>
        <w:pStyle w:val="NormalWeb"/>
      </w:pPr>
      <w:r>
        <w:rPr>
          <w:i/>
          <w:iCs/>
        </w:rPr>
        <w:t>PC</w:t>
      </w:r>
      <w:r>
        <w:rPr>
          <w:i/>
          <w:iCs/>
          <w:vertAlign w:val="subscript"/>
        </w:rPr>
        <w:t>nt</w:t>
      </w:r>
      <w:r>
        <w:t xml:space="preserve"> – puterea totală contractată de către to</w:t>
      </w:r>
      <w:r w:rsidR="00782F78">
        <w:t>ț</w:t>
      </w:r>
      <w:r>
        <w:t>i consumatorii finali, instala</w:t>
      </w:r>
      <w:r w:rsidR="00782F78">
        <w:t>ț</w:t>
      </w:r>
      <w:r>
        <w:t>iile electrice ale cărora sunt racordate la re</w:t>
      </w:r>
      <w:r w:rsidR="00782F78">
        <w:t>ț</w:t>
      </w:r>
      <w:r>
        <w:t>ele electrice de distribu</w:t>
      </w:r>
      <w:r w:rsidR="00782F78">
        <w:t>ț</w:t>
      </w:r>
      <w:r>
        <w:t>ie, kW, care este egală cu:</w:t>
      </w:r>
    </w:p>
    <w:p w:rsidR="001C5006" w:rsidRDefault="00A92D31">
      <w:pPr>
        <w:pStyle w:val="NormalWeb"/>
      </w:pPr>
      <w:r>
        <w:t> </w:t>
      </w:r>
    </w:p>
    <w:p w:rsidR="001C5006" w:rsidRDefault="00A92D31">
      <w:pPr>
        <w:pStyle w:val="cn"/>
      </w:pPr>
      <w:r>
        <w:rPr>
          <w:i/>
          <w:iCs/>
        </w:rPr>
        <w:t>PC</w:t>
      </w:r>
      <w:r>
        <w:rPr>
          <w:i/>
          <w:iCs/>
          <w:vertAlign w:val="subscript"/>
        </w:rPr>
        <w:t xml:space="preserve">nt </w:t>
      </w:r>
      <w:r>
        <w:rPr>
          <w:i/>
          <w:iCs/>
        </w:rPr>
        <w:t>= PC</w:t>
      </w:r>
      <w:r>
        <w:rPr>
          <w:i/>
          <w:iCs/>
          <w:vertAlign w:val="subscript"/>
        </w:rPr>
        <w:t>n</w:t>
      </w:r>
      <w:r w:rsidR="00AD2A37">
        <w:rPr>
          <w:i/>
          <w:iCs/>
          <w:vertAlign w:val="subscript"/>
        </w:rPr>
        <w:t>î</w:t>
      </w:r>
      <w:r>
        <w:rPr>
          <w:i/>
          <w:iCs/>
          <w:vertAlign w:val="subscript"/>
        </w:rPr>
        <w:t xml:space="preserve">t </w:t>
      </w:r>
      <w:r>
        <w:rPr>
          <w:i/>
          <w:iCs/>
        </w:rPr>
        <w:t>+ PC</w:t>
      </w:r>
      <w:r>
        <w:rPr>
          <w:i/>
          <w:iCs/>
          <w:vertAlign w:val="subscript"/>
        </w:rPr>
        <w:t xml:space="preserve">nmt </w:t>
      </w:r>
      <w:r>
        <w:rPr>
          <w:i/>
          <w:iCs/>
        </w:rPr>
        <w:t>+ PC</w:t>
      </w:r>
      <w:r>
        <w:rPr>
          <w:i/>
          <w:iCs/>
          <w:vertAlign w:val="subscript"/>
        </w:rPr>
        <w:t xml:space="preserve">njt </w:t>
      </w:r>
      <w:r>
        <w:t>(12)</w:t>
      </w:r>
    </w:p>
    <w:p w:rsidR="001C5006" w:rsidRDefault="00A92D31">
      <w:pPr>
        <w:pStyle w:val="NormalWeb"/>
      </w:pPr>
      <w:r>
        <w:t xml:space="preserve">unde: </w:t>
      </w:r>
    </w:p>
    <w:p w:rsidR="001C5006" w:rsidRDefault="00A92D31">
      <w:pPr>
        <w:pStyle w:val="NormalWeb"/>
      </w:pPr>
      <w:r>
        <w:rPr>
          <w:i/>
          <w:iCs/>
        </w:rPr>
        <w:t>PC</w:t>
      </w:r>
      <w:r>
        <w:rPr>
          <w:i/>
          <w:iCs/>
          <w:vertAlign w:val="subscript"/>
        </w:rPr>
        <w:t>n</w:t>
      </w:r>
      <w:r w:rsidR="00AD2A37">
        <w:rPr>
          <w:i/>
          <w:iCs/>
          <w:vertAlign w:val="subscript"/>
        </w:rPr>
        <w:t>î</w:t>
      </w:r>
      <w:r>
        <w:rPr>
          <w:i/>
          <w:iCs/>
          <w:vertAlign w:val="subscript"/>
        </w:rPr>
        <w:t>t</w:t>
      </w:r>
      <w:r>
        <w:rPr>
          <w:i/>
          <w:iCs/>
        </w:rPr>
        <w:t>; PC</w:t>
      </w:r>
      <w:r>
        <w:rPr>
          <w:i/>
          <w:iCs/>
          <w:vertAlign w:val="subscript"/>
        </w:rPr>
        <w:t>nmt</w:t>
      </w:r>
      <w:r>
        <w:rPr>
          <w:i/>
          <w:iCs/>
        </w:rPr>
        <w:t>; PC</w:t>
      </w:r>
      <w:r>
        <w:rPr>
          <w:i/>
          <w:iCs/>
          <w:vertAlign w:val="subscript"/>
        </w:rPr>
        <w:t>njt</w:t>
      </w:r>
      <w:r>
        <w:t xml:space="preserve"> – puterea contractată de către to</w:t>
      </w:r>
      <w:r w:rsidR="00782F78">
        <w:t>ț</w:t>
      </w:r>
      <w:r>
        <w:t>i consumatorii finali instala</w:t>
      </w:r>
      <w:r w:rsidR="00782F78">
        <w:t>ț</w:t>
      </w:r>
      <w:r>
        <w:t>iile electrice ale cărora sunt racordate la re</w:t>
      </w:r>
      <w:r w:rsidR="00782F78">
        <w:t>ț</w:t>
      </w:r>
      <w:r>
        <w:t>elele electrice de distribu</w:t>
      </w:r>
      <w:r w:rsidR="00782F78">
        <w:t>ț</w:t>
      </w:r>
      <w:r>
        <w:t xml:space="preserve">ie de înaltă, de medie </w:t>
      </w:r>
      <w:r w:rsidR="00782F78">
        <w:t>ș</w:t>
      </w:r>
      <w:r>
        <w:t>i de joasă tensiune, kW. Puterea contractată se determină anual în baza puterii indicate în contractele încheiate de consumatorii finali. Puterea contractată poate fi redusă, la solicitarea consumatorului final, doar pentru anul următor de reglementare.</w:t>
      </w:r>
    </w:p>
    <w:p w:rsidR="001C5006" w:rsidRDefault="00A92D31">
      <w:pPr>
        <w:pStyle w:val="NormalWeb"/>
      </w:pPr>
      <w:r>
        <w:t>Tariful pentru serviciul de distribu</w:t>
      </w:r>
      <w:r w:rsidR="00782F78">
        <w:t>ț</w:t>
      </w:r>
      <w:r>
        <w:t>ie a energiei electrice, bazat pe puterea contractată se va aplica consumatorilor finali lunar. Pentru aceasta tariful pentru puterea contractată determinat anual se va împăr</w:t>
      </w:r>
      <w:r w:rsidR="00782F78">
        <w:t>ț</w:t>
      </w:r>
      <w:r>
        <w:t>i la 12.</w:t>
      </w:r>
    </w:p>
    <w:p w:rsidR="001C5006" w:rsidRDefault="00A92D31">
      <w:pPr>
        <w:pStyle w:val="NormalWeb"/>
      </w:pPr>
      <w:r>
        <w:t> </w:t>
      </w:r>
    </w:p>
    <w:p w:rsidR="001C5006" w:rsidRDefault="00A92D31">
      <w:pPr>
        <w:pStyle w:val="cp"/>
      </w:pPr>
      <w:r>
        <w:t>Sec</w:t>
      </w:r>
      <w:r w:rsidR="00782F78">
        <w:t>ț</w:t>
      </w:r>
      <w:r>
        <w:t>iunea 4</w:t>
      </w:r>
    </w:p>
    <w:p w:rsidR="001C5006" w:rsidRDefault="00A92D31">
      <w:pPr>
        <w:pStyle w:val="cp"/>
      </w:pPr>
      <w:r>
        <w:t>COMPONEN</w:t>
      </w:r>
      <w:r w:rsidR="00782F78">
        <w:t>Ț</w:t>
      </w:r>
      <w:r>
        <w:t xml:space="preserve">A COSTURILOR </w:t>
      </w:r>
      <w:r w:rsidR="00782F78">
        <w:t>Ș</w:t>
      </w:r>
      <w:r>
        <w:t>I A CHELTUIELILOR</w:t>
      </w:r>
    </w:p>
    <w:p w:rsidR="001C5006" w:rsidRDefault="00A92D31" w:rsidP="001B0598">
      <w:pPr>
        <w:pStyle w:val="cp"/>
        <w:spacing w:after="120"/>
      </w:pPr>
      <w:r>
        <w:t>ACTIVITĂ</w:t>
      </w:r>
      <w:r w:rsidR="00782F78">
        <w:t>Ț</w:t>
      </w:r>
      <w:r>
        <w:t>II DE DISTRIBU</w:t>
      </w:r>
      <w:r w:rsidR="00782F78">
        <w:t>Ț</w:t>
      </w:r>
      <w:r>
        <w:t>IE A ENERGIEI ELECTRICE</w:t>
      </w:r>
    </w:p>
    <w:p w:rsidR="001C5006" w:rsidRDefault="00A92D31">
      <w:pPr>
        <w:pStyle w:val="NormalWeb"/>
      </w:pPr>
      <w:r>
        <w:rPr>
          <w:b/>
          <w:bCs/>
        </w:rPr>
        <w:t>11.</w:t>
      </w:r>
      <w:r>
        <w:t xml:space="preserve"> În costurile activită</w:t>
      </w:r>
      <w:r w:rsidR="00782F78">
        <w:t>ț</w:t>
      </w:r>
      <w:r>
        <w:t>ii de distribu</w:t>
      </w:r>
      <w:r w:rsidR="00782F78">
        <w:t>ț</w:t>
      </w:r>
      <w:r>
        <w:t>ie a energiei electrice în anul “n” (</w:t>
      </w:r>
      <w:r>
        <w:rPr>
          <w:b/>
          <w:bCs/>
          <w:i/>
          <w:iCs/>
        </w:rPr>
        <w:t>CD</w:t>
      </w:r>
      <w:r>
        <w:rPr>
          <w:b/>
          <w:bCs/>
          <w:i/>
          <w:iCs/>
          <w:vertAlign w:val="subscript"/>
        </w:rPr>
        <w:t>n</w:t>
      </w:r>
      <w:r>
        <w:t>) se includ:</w:t>
      </w:r>
    </w:p>
    <w:p w:rsidR="001C5006" w:rsidRDefault="00A92D31">
      <w:pPr>
        <w:pStyle w:val="NormalWeb"/>
      </w:pPr>
      <w:r>
        <w:t xml:space="preserve">1) costurile </w:t>
      </w:r>
      <w:r w:rsidR="00782F78">
        <w:t>ș</w:t>
      </w:r>
      <w:r>
        <w:t>i cheltuielile OSD aferente procesului de distribu</w:t>
      </w:r>
      <w:r w:rsidR="00782F78">
        <w:t>ț</w:t>
      </w:r>
      <w:r>
        <w:t>ie a energiei electrice (</w:t>
      </w:r>
      <w:r>
        <w:rPr>
          <w:b/>
          <w:bCs/>
          <w:i/>
          <w:iCs/>
        </w:rPr>
        <w:t>CDD</w:t>
      </w:r>
      <w:r>
        <w:rPr>
          <w:b/>
          <w:bCs/>
          <w:i/>
          <w:iCs/>
          <w:vertAlign w:val="subscript"/>
        </w:rPr>
        <w:t>n</w:t>
      </w:r>
      <w:r>
        <w:t>);</w:t>
      </w:r>
    </w:p>
    <w:p w:rsidR="001C5006" w:rsidRDefault="00A92D31">
      <w:pPr>
        <w:pStyle w:val="NormalWeb"/>
      </w:pPr>
      <w:r>
        <w:t>2) alte cheltuieli (</w:t>
      </w:r>
      <w:r>
        <w:rPr>
          <w:b/>
          <w:bCs/>
          <w:i/>
          <w:iCs/>
        </w:rPr>
        <w:t>ACD</w:t>
      </w:r>
      <w:r>
        <w:rPr>
          <w:b/>
          <w:bCs/>
          <w:i/>
          <w:iCs/>
          <w:vertAlign w:val="subscript"/>
        </w:rPr>
        <w:t>n</w:t>
      </w:r>
      <w:r>
        <w:t>);</w:t>
      </w:r>
    </w:p>
    <w:p w:rsidR="001C5006" w:rsidRDefault="00A92D31">
      <w:pPr>
        <w:pStyle w:val="NormalWeb"/>
      </w:pPr>
      <w:r>
        <w:t>3) devierile tarifare (</w:t>
      </w:r>
      <w:r>
        <w:rPr>
          <w:b/>
          <w:bCs/>
          <w:i/>
          <w:iCs/>
        </w:rPr>
        <w:t>Dev</w:t>
      </w:r>
      <w:r>
        <w:rPr>
          <w:b/>
          <w:bCs/>
          <w:i/>
          <w:iCs/>
          <w:vertAlign w:val="subscript"/>
        </w:rPr>
        <w:t>n-1</w:t>
      </w:r>
      <w:r>
        <w:t>). Aceste devieri, pozitive sau negative, generate din activitatea de distribu</w:t>
      </w:r>
      <w:r w:rsidR="00782F78">
        <w:t>ț</w:t>
      </w:r>
      <w:r>
        <w:t xml:space="preserve">ie a energiei electrice în anul </w:t>
      </w:r>
      <w:r>
        <w:rPr>
          <w:i/>
          <w:iCs/>
        </w:rPr>
        <w:t>“n-1”</w:t>
      </w:r>
      <w:r>
        <w:t xml:space="preserve"> (perioada precedentă), care trebuie luate în calculul tarifului anului “n” (perioada pentru care se stabile</w:t>
      </w:r>
      <w:r w:rsidR="00782F78">
        <w:t>ș</w:t>
      </w:r>
      <w:r>
        <w:t>te tariful), actualizate la rata de rentabilitate (Rrn), în baza valorilor acestor devieri, determinate lunar. Aceste devieri pot apărea ca rezultat al diferen</w:t>
      </w:r>
      <w:r w:rsidR="00782F78">
        <w:t>ț</w:t>
      </w:r>
      <w:r>
        <w:t>elor între parametrii estima</w:t>
      </w:r>
      <w:r w:rsidR="00782F78">
        <w:t>ț</w:t>
      </w:r>
      <w:r>
        <w:t xml:space="preserve">i în procesul de stabilire a tarifelor pentru anul </w:t>
      </w:r>
      <w:r>
        <w:rPr>
          <w:i/>
          <w:iCs/>
        </w:rPr>
        <w:t>“n-1”</w:t>
      </w:r>
      <w:r w:rsidR="00782F78">
        <w:t>ș</w:t>
      </w:r>
      <w:r>
        <w:t>i cei reali ob</w:t>
      </w:r>
      <w:r w:rsidR="00782F78">
        <w:t>ț</w:t>
      </w:r>
      <w:r>
        <w:t>inu</w:t>
      </w:r>
      <w:r w:rsidR="00782F78">
        <w:t>ț</w:t>
      </w:r>
      <w:r>
        <w:t xml:space="preserve">i în anul </w:t>
      </w:r>
      <w:r>
        <w:rPr>
          <w:i/>
          <w:iCs/>
        </w:rPr>
        <w:t>“n-1”</w:t>
      </w:r>
      <w:r>
        <w:t xml:space="preserve">. </w:t>
      </w:r>
    </w:p>
    <w:p w:rsidR="001C5006" w:rsidRDefault="00A92D31">
      <w:pPr>
        <w:pStyle w:val="NormalWeb"/>
      </w:pPr>
      <w:r>
        <w:t>În a</w:t>
      </w:r>
      <w:r w:rsidR="00782F78">
        <w:t>ș</w:t>
      </w:r>
      <w:r>
        <w:t>a mod, costurile activită</w:t>
      </w:r>
      <w:r w:rsidR="00782F78">
        <w:t>ț</w:t>
      </w:r>
      <w:r>
        <w:t>ii de distribu</w:t>
      </w:r>
      <w:r w:rsidR="00782F78">
        <w:t>ț</w:t>
      </w:r>
      <w:r>
        <w:t>ie a energiei electrice, ale OSD, în anul “n” sunt egale cu:</w:t>
      </w:r>
    </w:p>
    <w:p w:rsidR="001C5006" w:rsidRDefault="00A92D31">
      <w:pPr>
        <w:pStyle w:val="NormalWeb"/>
      </w:pPr>
      <w:r>
        <w:t> </w:t>
      </w:r>
    </w:p>
    <w:p w:rsidR="001C5006" w:rsidRDefault="00A92D31">
      <w:pPr>
        <w:pStyle w:val="cn"/>
      </w:pPr>
      <w:r>
        <w:rPr>
          <w:i/>
          <w:iCs/>
        </w:rPr>
        <w:t>CD</w:t>
      </w:r>
      <w:r>
        <w:rPr>
          <w:i/>
          <w:iCs/>
          <w:vertAlign w:val="subscript"/>
        </w:rPr>
        <w:t>n</w:t>
      </w:r>
      <w:r>
        <w:rPr>
          <w:i/>
          <w:iCs/>
        </w:rPr>
        <w:t xml:space="preserve"> = CDD</w:t>
      </w:r>
      <w:r>
        <w:rPr>
          <w:i/>
          <w:iCs/>
          <w:vertAlign w:val="subscript"/>
        </w:rPr>
        <w:t>n</w:t>
      </w:r>
      <w:r>
        <w:rPr>
          <w:i/>
          <w:iCs/>
        </w:rPr>
        <w:t>+ACD</w:t>
      </w:r>
      <w:r>
        <w:rPr>
          <w:i/>
          <w:iCs/>
          <w:vertAlign w:val="subscript"/>
        </w:rPr>
        <w:t>n</w:t>
      </w:r>
      <w:r>
        <w:rPr>
          <w:i/>
          <w:iCs/>
        </w:rPr>
        <w:t xml:space="preserve"> – Dev</w:t>
      </w:r>
      <w:r>
        <w:rPr>
          <w:i/>
          <w:iCs/>
          <w:vertAlign w:val="subscript"/>
        </w:rPr>
        <w:t>n-1</w:t>
      </w:r>
      <w:r>
        <w:t xml:space="preserve"> (13)</w:t>
      </w:r>
    </w:p>
    <w:p w:rsidR="001C5006" w:rsidRDefault="00A92D31">
      <w:pPr>
        <w:pStyle w:val="NormalWeb"/>
      </w:pPr>
      <w:r>
        <w:t> </w:t>
      </w:r>
    </w:p>
    <w:p w:rsidR="001C5006" w:rsidRDefault="00A92D31">
      <w:pPr>
        <w:pStyle w:val="NormalWeb"/>
      </w:pPr>
      <w:r>
        <w:rPr>
          <w:b/>
          <w:bCs/>
        </w:rPr>
        <w:t>12.</w:t>
      </w:r>
      <w:r>
        <w:t xml:space="preserve"> În componen</w:t>
      </w:r>
      <w:r w:rsidR="00782F78">
        <w:t>ț</w:t>
      </w:r>
      <w:r>
        <w:t xml:space="preserve">a costurilor </w:t>
      </w:r>
      <w:r w:rsidR="00782F78">
        <w:t>ș</w:t>
      </w:r>
      <w:r>
        <w:t>i a cheltuielilor aferente procesului de distribu</w:t>
      </w:r>
      <w:r w:rsidR="00782F78">
        <w:t>ț</w:t>
      </w:r>
      <w:r>
        <w:t>ie a energiei electrice (</w:t>
      </w:r>
      <w:r>
        <w:rPr>
          <w:b/>
          <w:bCs/>
          <w:i/>
          <w:iCs/>
        </w:rPr>
        <w:t>CDD</w:t>
      </w:r>
      <w:r>
        <w:rPr>
          <w:b/>
          <w:bCs/>
          <w:i/>
          <w:iCs/>
          <w:vertAlign w:val="subscript"/>
        </w:rPr>
        <w:t>n</w:t>
      </w:r>
      <w:r>
        <w:t xml:space="preserve">) se includ următoarele componente: </w:t>
      </w:r>
    </w:p>
    <w:p w:rsidR="001C5006" w:rsidRDefault="00A92D31">
      <w:pPr>
        <w:pStyle w:val="NormalWeb"/>
      </w:pPr>
      <w:r>
        <w:t xml:space="preserve">1) amortizarea mijloacelor fixe </w:t>
      </w:r>
      <w:r w:rsidR="00782F78">
        <w:t>ș</w:t>
      </w:r>
      <w:r>
        <w:t>i imobilizărilor necorporale, aferente activită</w:t>
      </w:r>
      <w:r w:rsidR="00782F78">
        <w:t>ț</w:t>
      </w:r>
      <w:r>
        <w:t>ii de distribu</w:t>
      </w:r>
      <w:r w:rsidR="00782F78">
        <w:t>ț</w:t>
      </w:r>
      <w:r>
        <w:t>ie (</w:t>
      </w:r>
      <w:r>
        <w:rPr>
          <w:b/>
          <w:bCs/>
          <w:i/>
          <w:iCs/>
        </w:rPr>
        <w:t>AAD</w:t>
      </w:r>
      <w:r>
        <w:rPr>
          <w:b/>
          <w:bCs/>
          <w:i/>
          <w:iCs/>
          <w:vertAlign w:val="subscript"/>
        </w:rPr>
        <w:t>n</w:t>
      </w:r>
      <w:r>
        <w:t>);</w:t>
      </w:r>
    </w:p>
    <w:p w:rsidR="001C5006" w:rsidRDefault="00A92D31">
      <w:pPr>
        <w:pStyle w:val="NormalWeb"/>
      </w:pPr>
      <w:r>
        <w:t>2) costurile de între</w:t>
      </w:r>
      <w:r w:rsidR="00782F78">
        <w:t>ț</w:t>
      </w:r>
      <w:r>
        <w:t xml:space="preserve">inere </w:t>
      </w:r>
      <w:r w:rsidR="00782F78">
        <w:t>ș</w:t>
      </w:r>
      <w:r>
        <w:t xml:space="preserve">i de exploatare a mijloacelor fixe </w:t>
      </w:r>
      <w:r w:rsidR="00782F78">
        <w:t>ș</w:t>
      </w:r>
      <w:r>
        <w:t>i a imobilizărilor necorporale, aferente procesului de distribu</w:t>
      </w:r>
      <w:r w:rsidR="00782F78">
        <w:t>ț</w:t>
      </w:r>
      <w:r>
        <w:t>ie a energiei electrice (</w:t>
      </w:r>
      <w:r>
        <w:rPr>
          <w:b/>
          <w:bCs/>
          <w:i/>
          <w:iCs/>
        </w:rPr>
        <w:t>CID</w:t>
      </w:r>
      <w:r>
        <w:rPr>
          <w:b/>
          <w:bCs/>
          <w:i/>
          <w:iCs/>
          <w:vertAlign w:val="subscript"/>
        </w:rPr>
        <w:t>n</w:t>
      </w:r>
      <w:r>
        <w:t xml:space="preserve">); </w:t>
      </w:r>
    </w:p>
    <w:p w:rsidR="001C5006" w:rsidRDefault="00A92D31">
      <w:pPr>
        <w:pStyle w:val="NormalWeb"/>
      </w:pPr>
      <w:r>
        <w:t>3) costurile aferente eviden</w:t>
      </w:r>
      <w:r w:rsidR="00782F78">
        <w:t>ț</w:t>
      </w:r>
      <w:r>
        <w:t>ei energiei electrice distribuite prin re</w:t>
      </w:r>
      <w:r w:rsidR="00782F78">
        <w:t>ț</w:t>
      </w:r>
      <w:r>
        <w:t>elele electrice de distribu</w:t>
      </w:r>
      <w:r w:rsidR="00782F78">
        <w:t>ț</w:t>
      </w:r>
      <w:r>
        <w:t>ie (</w:t>
      </w:r>
      <w:r>
        <w:rPr>
          <w:b/>
          <w:bCs/>
          <w:i/>
          <w:iCs/>
        </w:rPr>
        <w:t>CED</w:t>
      </w:r>
      <w:r>
        <w:rPr>
          <w:b/>
          <w:bCs/>
          <w:i/>
          <w:iCs/>
          <w:vertAlign w:val="subscript"/>
        </w:rPr>
        <w:t>n</w:t>
      </w:r>
      <w:r>
        <w:t>);</w:t>
      </w:r>
    </w:p>
    <w:p w:rsidR="001C5006" w:rsidRDefault="00A92D31" w:rsidP="001B0598">
      <w:pPr>
        <w:pStyle w:val="NormalWeb"/>
        <w:spacing w:after="120"/>
      </w:pPr>
      <w:r>
        <w:t xml:space="preserve">4) costul consumului tehnologic </w:t>
      </w:r>
      <w:r w:rsidR="00782F78">
        <w:t>ș</w:t>
      </w:r>
      <w:r>
        <w:t>i al pierderilor de energie electrică admise în re</w:t>
      </w:r>
      <w:r w:rsidR="00782F78">
        <w:t>ț</w:t>
      </w:r>
      <w:r>
        <w:t>elele electrice de distribu</w:t>
      </w:r>
      <w:r w:rsidR="00782F78">
        <w:t>ț</w:t>
      </w:r>
      <w:r>
        <w:t>ie (</w:t>
      </w:r>
      <w:r>
        <w:rPr>
          <w:b/>
          <w:bCs/>
          <w:i/>
          <w:iCs/>
        </w:rPr>
        <w:t>CPD</w:t>
      </w:r>
      <w:r>
        <w:rPr>
          <w:b/>
          <w:bCs/>
          <w:i/>
          <w:iCs/>
          <w:vertAlign w:val="subscript"/>
        </w:rPr>
        <w:t>n</w:t>
      </w:r>
      <w:r>
        <w:t>).</w:t>
      </w:r>
    </w:p>
    <w:p w:rsidR="001C5006" w:rsidRDefault="00A92D31">
      <w:pPr>
        <w:pStyle w:val="NormalWeb"/>
      </w:pPr>
      <w:r>
        <w:rPr>
          <w:b/>
          <w:bCs/>
        </w:rPr>
        <w:lastRenderedPageBreak/>
        <w:t>13.</w:t>
      </w:r>
      <w:r>
        <w:t xml:space="preserve"> Componen</w:t>
      </w:r>
      <w:r w:rsidR="00782F78">
        <w:t>ț</w:t>
      </w:r>
      <w:r>
        <w:t xml:space="preserve">a costurilor </w:t>
      </w:r>
      <w:r w:rsidR="00782F78">
        <w:t>ș</w:t>
      </w:r>
      <w:r>
        <w:t>i a cheltuielilor nemijlocit aferente procesului de distribu</w:t>
      </w:r>
      <w:r w:rsidR="00782F78">
        <w:t>ț</w:t>
      </w:r>
      <w:r>
        <w:t>ie a energiei electrice pentru fiecare tip de re</w:t>
      </w:r>
      <w:r w:rsidR="00782F78">
        <w:t>ț</w:t>
      </w:r>
      <w:r>
        <w:t>ea electrică de distribu</w:t>
      </w:r>
      <w:r w:rsidR="00782F78">
        <w:t>ț</w:t>
      </w:r>
      <w:r>
        <w:t xml:space="preserve">ie (de tensiune înaltă, medie </w:t>
      </w:r>
      <w:r w:rsidR="00782F78">
        <w:t>ș</w:t>
      </w:r>
      <w:r>
        <w:t>i joasă) în anul “n” este:</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1C5006" w:rsidRDefault="00A92D31">
      <w:pPr>
        <w:pStyle w:val="cn"/>
      </w:pPr>
      <w:r>
        <w:rPr>
          <w:i/>
          <w:iCs/>
        </w:rPr>
        <w:t>CDD</w:t>
      </w:r>
      <w:r w:rsidR="00AD2A37">
        <w:rPr>
          <w:i/>
          <w:iCs/>
          <w:vertAlign w:val="subscript"/>
        </w:rPr>
        <w:t>nî</w:t>
      </w:r>
      <w:r>
        <w:rPr>
          <w:i/>
          <w:iCs/>
          <w:vertAlign w:val="subscript"/>
        </w:rPr>
        <w:t>t</w:t>
      </w:r>
      <w:r>
        <w:rPr>
          <w:i/>
          <w:iCs/>
        </w:rPr>
        <w:t xml:space="preserve"> = AAD</w:t>
      </w:r>
      <w:r w:rsidR="00AD2A37">
        <w:rPr>
          <w:i/>
          <w:iCs/>
          <w:vertAlign w:val="subscript"/>
        </w:rPr>
        <w:t>nî</w:t>
      </w:r>
      <w:r>
        <w:rPr>
          <w:i/>
          <w:iCs/>
          <w:vertAlign w:val="subscript"/>
        </w:rPr>
        <w:t>t</w:t>
      </w:r>
      <w:r>
        <w:rPr>
          <w:i/>
          <w:iCs/>
        </w:rPr>
        <w:t xml:space="preserve"> + CID</w:t>
      </w:r>
      <w:r w:rsidR="00AD2A37">
        <w:rPr>
          <w:i/>
          <w:iCs/>
          <w:vertAlign w:val="subscript"/>
        </w:rPr>
        <w:t>nî</w:t>
      </w:r>
      <w:r>
        <w:rPr>
          <w:i/>
          <w:iCs/>
          <w:vertAlign w:val="subscript"/>
        </w:rPr>
        <w:t>t</w:t>
      </w:r>
      <w:r>
        <w:rPr>
          <w:i/>
          <w:iCs/>
        </w:rPr>
        <w:t xml:space="preserve"> + CED</w:t>
      </w:r>
      <w:r w:rsidR="00AD2A37">
        <w:rPr>
          <w:i/>
          <w:iCs/>
          <w:vertAlign w:val="subscript"/>
        </w:rPr>
        <w:t>nî</w:t>
      </w:r>
      <w:r>
        <w:rPr>
          <w:i/>
          <w:iCs/>
          <w:vertAlign w:val="subscript"/>
        </w:rPr>
        <w:t>t</w:t>
      </w:r>
      <w:r>
        <w:rPr>
          <w:i/>
          <w:iCs/>
        </w:rPr>
        <w:t xml:space="preserve"> + CPD</w:t>
      </w:r>
      <w:r w:rsidR="00AD2A37">
        <w:rPr>
          <w:i/>
          <w:iCs/>
          <w:vertAlign w:val="subscript"/>
        </w:rPr>
        <w:t>nî</w:t>
      </w:r>
      <w:r>
        <w:rPr>
          <w:i/>
          <w:iCs/>
          <w:vertAlign w:val="subscript"/>
        </w:rPr>
        <w:t>t</w:t>
      </w:r>
      <w:r>
        <w:t>(14)</w:t>
      </w:r>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1C5006" w:rsidRDefault="00A92D31">
      <w:pPr>
        <w:pStyle w:val="cn"/>
      </w:pPr>
      <w:r>
        <w:rPr>
          <w:i/>
          <w:iCs/>
        </w:rPr>
        <w:t>CDD</w:t>
      </w:r>
      <w:r>
        <w:rPr>
          <w:i/>
          <w:iCs/>
          <w:vertAlign w:val="subscript"/>
        </w:rPr>
        <w:t>nmt</w:t>
      </w:r>
      <w:r>
        <w:rPr>
          <w:i/>
          <w:iCs/>
        </w:rPr>
        <w:t xml:space="preserve"> = AAD</w:t>
      </w:r>
      <w:r>
        <w:rPr>
          <w:i/>
          <w:iCs/>
          <w:vertAlign w:val="subscript"/>
        </w:rPr>
        <w:t>nmt</w:t>
      </w:r>
      <w:r>
        <w:rPr>
          <w:i/>
          <w:iCs/>
        </w:rPr>
        <w:t xml:space="preserve"> + CID</w:t>
      </w:r>
      <w:r>
        <w:rPr>
          <w:i/>
          <w:iCs/>
          <w:vertAlign w:val="subscript"/>
        </w:rPr>
        <w:t>nmt</w:t>
      </w:r>
      <w:r>
        <w:rPr>
          <w:i/>
          <w:iCs/>
        </w:rPr>
        <w:t xml:space="preserve"> + CED</w:t>
      </w:r>
      <w:r>
        <w:rPr>
          <w:i/>
          <w:iCs/>
          <w:vertAlign w:val="subscript"/>
        </w:rPr>
        <w:t>nmt</w:t>
      </w:r>
      <w:r>
        <w:rPr>
          <w:i/>
          <w:iCs/>
        </w:rPr>
        <w:t xml:space="preserve"> + CPD</w:t>
      </w:r>
      <w:r>
        <w:rPr>
          <w:i/>
          <w:iCs/>
          <w:vertAlign w:val="subscript"/>
        </w:rPr>
        <w:t>nmt</w:t>
      </w:r>
      <w:r>
        <w:t xml:space="preserve"> (15)</w:t>
      </w:r>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pPr>
        <w:pStyle w:val="NormalWeb"/>
      </w:pPr>
      <w:r>
        <w:t> </w:t>
      </w:r>
    </w:p>
    <w:p w:rsidR="001C5006" w:rsidRDefault="00A92D31">
      <w:pPr>
        <w:pStyle w:val="cn"/>
      </w:pPr>
      <w:r>
        <w:rPr>
          <w:i/>
          <w:iCs/>
        </w:rPr>
        <w:t>CDD</w:t>
      </w:r>
      <w:r>
        <w:rPr>
          <w:i/>
          <w:iCs/>
          <w:vertAlign w:val="subscript"/>
        </w:rPr>
        <w:t>njt</w:t>
      </w:r>
      <w:r>
        <w:rPr>
          <w:i/>
          <w:iCs/>
        </w:rPr>
        <w:t xml:space="preserve"> = AAD</w:t>
      </w:r>
      <w:r>
        <w:rPr>
          <w:i/>
          <w:iCs/>
          <w:vertAlign w:val="subscript"/>
        </w:rPr>
        <w:t>njt</w:t>
      </w:r>
      <w:r>
        <w:rPr>
          <w:i/>
          <w:iCs/>
        </w:rPr>
        <w:t xml:space="preserve"> + CID</w:t>
      </w:r>
      <w:r>
        <w:rPr>
          <w:i/>
          <w:iCs/>
          <w:vertAlign w:val="subscript"/>
        </w:rPr>
        <w:t>njt</w:t>
      </w:r>
      <w:r>
        <w:rPr>
          <w:i/>
          <w:iCs/>
        </w:rPr>
        <w:t xml:space="preserve"> + CED</w:t>
      </w:r>
      <w:r>
        <w:rPr>
          <w:i/>
          <w:iCs/>
          <w:vertAlign w:val="subscript"/>
        </w:rPr>
        <w:t>njt</w:t>
      </w:r>
      <w:r>
        <w:rPr>
          <w:i/>
          <w:iCs/>
        </w:rPr>
        <w:t xml:space="preserve"> + CPD</w:t>
      </w:r>
      <w:r>
        <w:rPr>
          <w:i/>
          <w:iCs/>
          <w:vertAlign w:val="subscript"/>
        </w:rPr>
        <w:t>njt</w:t>
      </w:r>
      <w:r>
        <w:t xml:space="preserve"> (16)</w:t>
      </w:r>
    </w:p>
    <w:p w:rsidR="001C5006" w:rsidRDefault="00A92D31">
      <w:pPr>
        <w:pStyle w:val="NormalWeb"/>
      </w:pPr>
      <w:r>
        <w:t> </w:t>
      </w:r>
    </w:p>
    <w:p w:rsidR="001C5006" w:rsidRDefault="00A92D31">
      <w:pPr>
        <w:pStyle w:val="NormalWeb"/>
      </w:pPr>
      <w:r>
        <w:t>unde:</w:t>
      </w:r>
    </w:p>
    <w:p w:rsidR="001C5006" w:rsidRDefault="00A92D31">
      <w:pPr>
        <w:pStyle w:val="NormalWeb"/>
      </w:pPr>
      <w:r>
        <w:rPr>
          <w:i/>
          <w:iCs/>
        </w:rPr>
        <w:t>AAD</w:t>
      </w:r>
      <w:r w:rsidR="00AD427F">
        <w:rPr>
          <w:i/>
          <w:iCs/>
          <w:vertAlign w:val="subscript"/>
        </w:rPr>
        <w:t>nî</w:t>
      </w:r>
      <w:r>
        <w:rPr>
          <w:i/>
          <w:iCs/>
          <w:vertAlign w:val="subscript"/>
        </w:rPr>
        <w:t>t</w:t>
      </w:r>
      <w:r>
        <w:rPr>
          <w:i/>
          <w:iCs/>
        </w:rPr>
        <w:t>; AAD</w:t>
      </w:r>
      <w:r>
        <w:rPr>
          <w:i/>
          <w:iCs/>
          <w:vertAlign w:val="subscript"/>
        </w:rPr>
        <w:t>nmt</w:t>
      </w:r>
      <w:r>
        <w:rPr>
          <w:i/>
          <w:iCs/>
        </w:rPr>
        <w:t>; AAD</w:t>
      </w:r>
      <w:r>
        <w:rPr>
          <w:i/>
          <w:iCs/>
          <w:vertAlign w:val="subscript"/>
        </w:rPr>
        <w:t>njt</w:t>
      </w:r>
      <w:r>
        <w:t xml:space="preserve">– amortizarea mijloacelor fixe </w:t>
      </w:r>
      <w:r w:rsidR="00782F78">
        <w:t>ș</w:t>
      </w:r>
      <w:r>
        <w:t>i imobilizărilor necorporale în anul “n”, aferente re</w:t>
      </w:r>
      <w:r w:rsidR="00782F78">
        <w:t>ț</w:t>
      </w:r>
      <w:r>
        <w:t>elelor electrice de distribu</w:t>
      </w:r>
      <w:r w:rsidR="00782F78">
        <w:t>ț</w:t>
      </w:r>
      <w:r>
        <w:t xml:space="preserve">ie de tensiune înaltă, medie </w:t>
      </w:r>
      <w:r w:rsidR="00782F78">
        <w:t>ș</w:t>
      </w:r>
      <w:r>
        <w:t>i joasă, determinată în conformitate cu prevederile punctelor 18-2</w:t>
      </w:r>
      <w:r w:rsidR="002852C1" w:rsidRPr="00AA0E26">
        <w:t>1</w:t>
      </w:r>
      <w:r>
        <w:t xml:space="preserve"> din Metodologie;</w:t>
      </w:r>
    </w:p>
    <w:p w:rsidR="001C5006" w:rsidRDefault="00A92D31">
      <w:pPr>
        <w:pStyle w:val="NormalWeb"/>
      </w:pPr>
      <w:r>
        <w:rPr>
          <w:i/>
          <w:iCs/>
        </w:rPr>
        <w:t>CID</w:t>
      </w:r>
      <w:r w:rsidR="00AD427F">
        <w:rPr>
          <w:i/>
          <w:iCs/>
          <w:vertAlign w:val="subscript"/>
        </w:rPr>
        <w:t>nî</w:t>
      </w:r>
      <w:r>
        <w:rPr>
          <w:i/>
          <w:iCs/>
          <w:vertAlign w:val="subscript"/>
        </w:rPr>
        <w:t>t</w:t>
      </w:r>
      <w:r>
        <w:rPr>
          <w:i/>
          <w:iCs/>
        </w:rPr>
        <w:t>; CID</w:t>
      </w:r>
      <w:r>
        <w:rPr>
          <w:i/>
          <w:iCs/>
          <w:vertAlign w:val="subscript"/>
        </w:rPr>
        <w:t>nmt</w:t>
      </w:r>
      <w:r>
        <w:rPr>
          <w:i/>
          <w:iCs/>
        </w:rPr>
        <w:t>; CID</w:t>
      </w:r>
      <w:r>
        <w:rPr>
          <w:i/>
          <w:iCs/>
          <w:vertAlign w:val="subscript"/>
        </w:rPr>
        <w:t>njt</w:t>
      </w:r>
      <w:r>
        <w:t xml:space="preserve"> – costuri de între</w:t>
      </w:r>
      <w:r w:rsidR="00782F78">
        <w:t>ț</w:t>
      </w:r>
      <w:r>
        <w:t xml:space="preserve">inere </w:t>
      </w:r>
      <w:r w:rsidR="00782F78">
        <w:t>ș</w:t>
      </w:r>
      <w:r>
        <w:t>i de exploatare în anul “n”, aferente nemijlocit re</w:t>
      </w:r>
      <w:r w:rsidR="00782F78">
        <w:t>ț</w:t>
      </w:r>
      <w:r>
        <w:t>elelor electrice de distribu</w:t>
      </w:r>
      <w:r w:rsidR="00782F78">
        <w:t>ț</w:t>
      </w:r>
      <w:r>
        <w:t xml:space="preserve">ie de tensiune înaltă, medie </w:t>
      </w:r>
      <w:r w:rsidR="00782F78">
        <w:t>ș</w:t>
      </w:r>
      <w:r>
        <w:t>i joasă;</w:t>
      </w:r>
    </w:p>
    <w:p w:rsidR="001C5006" w:rsidRDefault="00A92D31">
      <w:pPr>
        <w:pStyle w:val="NormalWeb"/>
      </w:pPr>
      <w:r>
        <w:rPr>
          <w:i/>
          <w:iCs/>
        </w:rPr>
        <w:t>CED</w:t>
      </w:r>
      <w:r w:rsidR="00AD427F">
        <w:rPr>
          <w:i/>
          <w:iCs/>
          <w:vertAlign w:val="subscript"/>
        </w:rPr>
        <w:t>nî</w:t>
      </w:r>
      <w:r>
        <w:rPr>
          <w:i/>
          <w:iCs/>
          <w:vertAlign w:val="subscript"/>
        </w:rPr>
        <w:t>t</w:t>
      </w:r>
      <w:r>
        <w:rPr>
          <w:i/>
          <w:iCs/>
        </w:rPr>
        <w:t>; CED</w:t>
      </w:r>
      <w:r>
        <w:rPr>
          <w:i/>
          <w:iCs/>
          <w:vertAlign w:val="subscript"/>
        </w:rPr>
        <w:t>nmt</w:t>
      </w:r>
      <w:r>
        <w:rPr>
          <w:i/>
          <w:iCs/>
        </w:rPr>
        <w:t>; CED</w:t>
      </w:r>
      <w:r>
        <w:rPr>
          <w:i/>
          <w:iCs/>
          <w:vertAlign w:val="subscript"/>
        </w:rPr>
        <w:t>njt</w:t>
      </w:r>
      <w:r>
        <w:t xml:space="preserve"> – costuri legate de eviden</w:t>
      </w:r>
      <w:r w:rsidR="00782F78">
        <w:t>ț</w:t>
      </w:r>
      <w:r>
        <w:t>a energiei electrice distribuite</w:t>
      </w:r>
      <w:r w:rsidR="00552E32">
        <w:t xml:space="preserve"> în anul “n”</w:t>
      </w:r>
      <w:r>
        <w:t xml:space="preserve"> prin re</w:t>
      </w:r>
      <w:r w:rsidR="00782F78">
        <w:t>ț</w:t>
      </w:r>
      <w:r>
        <w:t>elele electrice de distribu</w:t>
      </w:r>
      <w:r w:rsidR="00782F78">
        <w:t>ț</w:t>
      </w:r>
      <w:r>
        <w:t xml:space="preserve">ie de tensiune înaltă, medie </w:t>
      </w:r>
      <w:r w:rsidR="00782F78">
        <w:t>ș</w:t>
      </w:r>
      <w:r>
        <w:t>i joasă;</w:t>
      </w:r>
    </w:p>
    <w:p w:rsidR="001C5006" w:rsidRDefault="00A92D31" w:rsidP="001B0598">
      <w:pPr>
        <w:pStyle w:val="NormalWeb"/>
        <w:spacing w:after="120"/>
      </w:pPr>
      <w:r>
        <w:rPr>
          <w:i/>
          <w:iCs/>
        </w:rPr>
        <w:t>CPD</w:t>
      </w:r>
      <w:r w:rsidR="00AD427F">
        <w:rPr>
          <w:i/>
          <w:iCs/>
          <w:vertAlign w:val="subscript"/>
        </w:rPr>
        <w:t>nî</w:t>
      </w:r>
      <w:r>
        <w:rPr>
          <w:i/>
          <w:iCs/>
          <w:vertAlign w:val="subscript"/>
        </w:rPr>
        <w:t>t</w:t>
      </w:r>
      <w:r>
        <w:rPr>
          <w:i/>
          <w:iCs/>
        </w:rPr>
        <w:t>; CPD</w:t>
      </w:r>
      <w:r>
        <w:rPr>
          <w:i/>
          <w:iCs/>
          <w:vertAlign w:val="subscript"/>
        </w:rPr>
        <w:t>nmt</w:t>
      </w:r>
      <w:r>
        <w:rPr>
          <w:i/>
          <w:iCs/>
        </w:rPr>
        <w:t>; CPD</w:t>
      </w:r>
      <w:r>
        <w:rPr>
          <w:i/>
          <w:iCs/>
          <w:vertAlign w:val="subscript"/>
        </w:rPr>
        <w:t>njt</w:t>
      </w:r>
      <w:r>
        <w:t xml:space="preserve"> – costul în anul “n” al consumului tehnologic </w:t>
      </w:r>
      <w:r w:rsidR="00782F78">
        <w:t>ș</w:t>
      </w:r>
      <w:r>
        <w:t>i al pierderilor de energie electrică în re</w:t>
      </w:r>
      <w:r w:rsidR="00782F78">
        <w:t>ț</w:t>
      </w:r>
      <w:r>
        <w:t>elele electrice de distribu</w:t>
      </w:r>
      <w:r w:rsidR="00782F78">
        <w:t>ț</w:t>
      </w:r>
      <w:r>
        <w:t xml:space="preserve">ie de înaltă, de medie </w:t>
      </w:r>
      <w:r w:rsidR="00782F78">
        <w:t>ș</w:t>
      </w:r>
      <w:r>
        <w:t>i de joasă tensiune.</w:t>
      </w:r>
    </w:p>
    <w:p w:rsidR="001C5006" w:rsidRDefault="00A92D31">
      <w:pPr>
        <w:pStyle w:val="NormalWeb"/>
      </w:pPr>
      <w:r>
        <w:rPr>
          <w:b/>
          <w:bCs/>
        </w:rPr>
        <w:t>14.</w:t>
      </w:r>
      <w:r>
        <w:t xml:space="preserve"> În componen</w:t>
      </w:r>
      <w:r w:rsidR="00782F78">
        <w:t>ț</w:t>
      </w:r>
      <w:r>
        <w:t>a categoriei “Alte cheltuieli (</w:t>
      </w:r>
      <w:r>
        <w:rPr>
          <w:b/>
          <w:bCs/>
          <w:i/>
          <w:iCs/>
        </w:rPr>
        <w:t>ACD</w:t>
      </w:r>
      <w:r>
        <w:rPr>
          <w:b/>
          <w:bCs/>
          <w:i/>
          <w:iCs/>
          <w:vertAlign w:val="subscript"/>
        </w:rPr>
        <w:t>n</w:t>
      </w:r>
      <w:r>
        <w:t xml:space="preserve">)” se includ toate celelalte costuri </w:t>
      </w:r>
      <w:r w:rsidR="00782F78">
        <w:t>ș</w:t>
      </w:r>
      <w:r>
        <w:t>i cheltuieli ale activită</w:t>
      </w:r>
      <w:r w:rsidR="00782F78">
        <w:t>ț</w:t>
      </w:r>
      <w:r>
        <w:t>ii de distribu</w:t>
      </w:r>
      <w:r w:rsidR="00782F78">
        <w:t>ț</w:t>
      </w:r>
      <w:r>
        <w:t xml:space="preserve">ie a energiei electrice, care nu </w:t>
      </w:r>
      <w:r w:rsidR="00782F78">
        <w:t>ț</w:t>
      </w:r>
      <w:r>
        <w:t>in nemijlocit de procesul tehnologic de distribu</w:t>
      </w:r>
      <w:r w:rsidR="00782F78">
        <w:t>ț</w:t>
      </w:r>
      <w:r>
        <w:t>ie a energiei electrice. Din aceste cheltuieli fac parte:</w:t>
      </w:r>
    </w:p>
    <w:p w:rsidR="001C5006" w:rsidRDefault="00A92D31">
      <w:pPr>
        <w:pStyle w:val="NormalWeb"/>
      </w:pPr>
      <w:r>
        <w:t xml:space="preserve">1) cheltuielile de distribuire </w:t>
      </w:r>
      <w:r w:rsidR="00782F78">
        <w:t>ș</w:t>
      </w:r>
      <w:r>
        <w:t>i administrative (</w:t>
      </w:r>
      <w:r>
        <w:rPr>
          <w:b/>
          <w:bCs/>
          <w:i/>
          <w:iCs/>
        </w:rPr>
        <w:t>CDA</w:t>
      </w:r>
      <w:r>
        <w:rPr>
          <w:b/>
          <w:bCs/>
          <w:i/>
          <w:iCs/>
          <w:vertAlign w:val="subscript"/>
        </w:rPr>
        <w:t>n</w:t>
      </w:r>
      <w:r>
        <w:t>);</w:t>
      </w:r>
    </w:p>
    <w:p w:rsidR="001C5006" w:rsidRDefault="00A92D31">
      <w:pPr>
        <w:pStyle w:val="NormalWeb"/>
      </w:pPr>
      <w:r>
        <w:t>2) alte cheltuieli de distribu</w:t>
      </w:r>
      <w:r w:rsidR="00782F78">
        <w:t>ț</w:t>
      </w:r>
      <w:r>
        <w:t>ie (</w:t>
      </w:r>
      <w:r>
        <w:rPr>
          <w:b/>
          <w:bCs/>
          <w:i/>
          <w:iCs/>
        </w:rPr>
        <w:t>AC</w:t>
      </w:r>
      <w:r>
        <w:rPr>
          <w:b/>
          <w:bCs/>
          <w:i/>
          <w:iCs/>
          <w:vertAlign w:val="subscript"/>
        </w:rPr>
        <w:t>n</w:t>
      </w:r>
      <w:r>
        <w:t xml:space="preserve">). </w:t>
      </w:r>
    </w:p>
    <w:p w:rsidR="001C5006" w:rsidRDefault="00A92D31">
      <w:pPr>
        <w:pStyle w:val="NormalWeb"/>
      </w:pPr>
      <w:r>
        <w:t>Adică, în fiecare an “n” aceste cheltuieli for fi egale cu:</w:t>
      </w:r>
    </w:p>
    <w:p w:rsidR="001C5006" w:rsidRDefault="00A92D31">
      <w:pPr>
        <w:pStyle w:val="NormalWeb"/>
      </w:pPr>
      <w:r>
        <w:t> </w:t>
      </w:r>
    </w:p>
    <w:p w:rsidR="001C5006" w:rsidRDefault="00A92D31">
      <w:pPr>
        <w:pStyle w:val="cn"/>
      </w:pPr>
      <w:r>
        <w:rPr>
          <w:i/>
          <w:iCs/>
        </w:rPr>
        <w:t>ACD</w:t>
      </w:r>
      <w:r>
        <w:rPr>
          <w:i/>
          <w:iCs/>
          <w:vertAlign w:val="subscript"/>
        </w:rPr>
        <w:t>n</w:t>
      </w:r>
      <w:r>
        <w:rPr>
          <w:i/>
          <w:iCs/>
        </w:rPr>
        <w:t xml:space="preserve"> = CDA</w:t>
      </w:r>
      <w:r>
        <w:rPr>
          <w:i/>
          <w:iCs/>
          <w:vertAlign w:val="subscript"/>
        </w:rPr>
        <w:t>n</w:t>
      </w:r>
      <w:r>
        <w:rPr>
          <w:i/>
          <w:iCs/>
        </w:rPr>
        <w:t xml:space="preserve"> + AC</w:t>
      </w:r>
      <w:r>
        <w:rPr>
          <w:i/>
          <w:iCs/>
          <w:vertAlign w:val="subscript"/>
        </w:rPr>
        <w:t>n</w:t>
      </w:r>
      <w:r>
        <w:t xml:space="preserve"> (17)</w:t>
      </w:r>
    </w:p>
    <w:p w:rsidR="001C5006" w:rsidRDefault="00A92D31">
      <w:pPr>
        <w:pStyle w:val="NormalWeb"/>
      </w:pPr>
      <w:r>
        <w:t> </w:t>
      </w:r>
    </w:p>
    <w:p w:rsidR="001C5006" w:rsidRDefault="00A92D31">
      <w:pPr>
        <w:pStyle w:val="NormalWeb"/>
      </w:pPr>
      <w:r>
        <w:rPr>
          <w:b/>
          <w:bCs/>
        </w:rPr>
        <w:t>15.</w:t>
      </w:r>
      <w:r>
        <w:t xml:space="preserve"> Cheltuielile ACD se determină integral pe OSD </w:t>
      </w:r>
      <w:r w:rsidR="00782F78">
        <w:t>ș</w:t>
      </w:r>
      <w:r>
        <w:t>i se repartizează pe fiecare tip de re</w:t>
      </w:r>
      <w:r w:rsidR="00782F78">
        <w:t>ț</w:t>
      </w:r>
      <w:r>
        <w:t>ea propor</w:t>
      </w:r>
      <w:r w:rsidR="00782F78">
        <w:t>ț</w:t>
      </w:r>
      <w:r>
        <w:t>ional energiei electrice distribuite conform următoarelor formule:</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CB25EB" w:rsidRDefault="00A92D31">
      <w:pPr>
        <w:pStyle w:val="cn"/>
      </w:pPr>
      <w:r w:rsidRPr="008E0927">
        <w:rPr>
          <w:position w:val="-10"/>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6" o:title=""/>
          </v:shape>
          <o:OLEObject Type="Embed" ProgID="Equation.3" ShapeID="_x0000_i1025" DrawAspect="Content" ObjectID="_1582636450" r:id="rId7"/>
        </w:object>
      </w:r>
      <m:oMath>
        <m:sSub>
          <m:sSubPr>
            <m:ctrlPr>
              <w:rPr>
                <w:rFonts w:ascii="Cambria Math" w:hAnsi="Cambria Math"/>
                <w:i/>
              </w:rPr>
            </m:ctrlPr>
          </m:sSubPr>
          <m:e>
            <m:r>
              <w:rPr>
                <w:rFonts w:ascii="Cambria Math" w:hAnsi="Cambria Math"/>
              </w:rPr>
              <m:t>ACD</m:t>
            </m:r>
          </m:e>
          <m:sub>
            <m:r>
              <w:rPr>
                <w:rFonts w:ascii="Cambria Math" w:hAnsi="Cambria Math"/>
              </w:rPr>
              <m:t>nît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ACD</m:t>
                </m:r>
              </m:e>
              <m:sub>
                <m:r>
                  <w:rPr>
                    <w:rFonts w:ascii="Cambria Math" w:hAnsi="Cambria Math"/>
                  </w:rPr>
                  <m:t>n</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nît</m:t>
            </m:r>
          </m:sub>
        </m:sSub>
        <m:r>
          <w:rPr>
            <w:rFonts w:ascii="Cambria Math" w:hAnsi="Cambria Math"/>
          </w:rPr>
          <m:t xml:space="preserve">   (18)</m:t>
        </m:r>
      </m:oMath>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CB25EB" w:rsidRDefault="00A726DA">
      <w:pPr>
        <w:pStyle w:val="cn"/>
      </w:pPr>
      <m:oMathPara>
        <m:oMath>
          <m:sSub>
            <m:sSubPr>
              <m:ctrlPr>
                <w:rPr>
                  <w:rFonts w:ascii="Cambria Math" w:hAnsi="Cambria Math"/>
                  <w:i/>
                </w:rPr>
              </m:ctrlPr>
            </m:sSubPr>
            <m:e>
              <m:r>
                <w:rPr>
                  <w:rFonts w:ascii="Cambria Math" w:hAnsi="Cambria Math"/>
                </w:rPr>
                <m:t>ACD</m:t>
              </m:r>
            </m:e>
            <m:sub>
              <m:r>
                <w:rPr>
                  <w:rFonts w:ascii="Cambria Math" w:hAnsi="Cambria Math"/>
                </w:rPr>
                <m:t>nmt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ACD</m:t>
                  </m:r>
                </m:e>
                <m:sub>
                  <m:r>
                    <w:rPr>
                      <w:rFonts w:ascii="Cambria Math" w:hAnsi="Cambria Math"/>
                    </w:rPr>
                    <m:t>n</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nmt</m:t>
              </m:r>
            </m:sub>
          </m:sSub>
          <m:r>
            <w:rPr>
              <w:rFonts w:ascii="Cambria Math" w:hAnsi="Cambria Math"/>
            </w:rPr>
            <m:t xml:space="preserve">   (19)</m:t>
          </m:r>
        </m:oMath>
      </m:oMathPara>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rsidP="00291188">
      <w:pPr>
        <w:pStyle w:val="NormalWeb"/>
      </w:pPr>
      <w:r>
        <w:t> </w:t>
      </w:r>
    </w:p>
    <w:p w:rsidR="00CB25EB" w:rsidRDefault="00A726DA">
      <w:pPr>
        <w:pStyle w:val="cn"/>
      </w:pPr>
      <m:oMathPara>
        <m:oMath>
          <m:sSub>
            <m:sSubPr>
              <m:ctrlPr>
                <w:rPr>
                  <w:rFonts w:ascii="Cambria Math" w:hAnsi="Cambria Math"/>
                  <w:i/>
                </w:rPr>
              </m:ctrlPr>
            </m:sSubPr>
            <m:e>
              <m:r>
                <w:rPr>
                  <w:rFonts w:ascii="Cambria Math" w:hAnsi="Cambria Math"/>
                </w:rPr>
                <m:t>ACD</m:t>
              </m:r>
            </m:e>
            <m:sub>
              <m:r>
                <w:rPr>
                  <w:rFonts w:ascii="Cambria Math" w:hAnsi="Cambria Math"/>
                </w:rPr>
                <m:t>njt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ACD</m:t>
                  </m:r>
                </m:e>
                <m:sub>
                  <m:r>
                    <w:rPr>
                      <w:rFonts w:ascii="Cambria Math" w:hAnsi="Cambria Math"/>
                    </w:rPr>
                    <m:t>n</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njt</m:t>
              </m:r>
            </m:sub>
          </m:sSub>
          <m:r>
            <w:rPr>
              <w:rFonts w:ascii="Cambria Math" w:hAnsi="Cambria Math"/>
            </w:rPr>
            <m:t xml:space="preserve">   (20)</m:t>
          </m:r>
        </m:oMath>
      </m:oMathPara>
    </w:p>
    <w:p w:rsidR="001C5006" w:rsidRDefault="00A92D31">
      <w:pPr>
        <w:pStyle w:val="NormalWeb"/>
      </w:pPr>
      <w:r>
        <w:t> </w:t>
      </w:r>
    </w:p>
    <w:p w:rsidR="001C5006" w:rsidRDefault="00A92D31">
      <w:pPr>
        <w:pStyle w:val="NormalWeb"/>
      </w:pPr>
      <w:r>
        <w:rPr>
          <w:b/>
          <w:bCs/>
        </w:rPr>
        <w:t>16.</w:t>
      </w:r>
      <w:r>
        <w:t xml:space="preserve"> Devierile tarifare se determină integral pentru activitatea de distribu</w:t>
      </w:r>
      <w:r w:rsidR="00782F78">
        <w:t>ț</w:t>
      </w:r>
      <w:r>
        <w:t>ie reie</w:t>
      </w:r>
      <w:r w:rsidR="00782F78">
        <w:t>ș</w:t>
      </w:r>
      <w:r>
        <w:t xml:space="preserve">ind din modificarea în decursul anului “n-1”, a parametrilor </w:t>
      </w:r>
      <w:r w:rsidR="00552E32">
        <w:t xml:space="preserve">reali </w:t>
      </w:r>
      <w:r>
        <w:t>fa</w:t>
      </w:r>
      <w:r w:rsidR="00782F78">
        <w:t>ț</w:t>
      </w:r>
      <w:r>
        <w:t>ă de cei estimativi, lua</w:t>
      </w:r>
      <w:r w:rsidR="00782F78">
        <w:t>ț</w:t>
      </w:r>
      <w:r>
        <w:t xml:space="preserve">i în calcul la </w:t>
      </w:r>
      <w:r>
        <w:lastRenderedPageBreak/>
        <w:t>stabilirea tarifelor. Aceste devieri se determină separat pentru fiecare lună în parte din anul “n-1” cu actualizarea acestora la rata anuală de rentabilitate (Rrn) corelată cu numărul de luni de la apari</w:t>
      </w:r>
      <w:r w:rsidR="00782F78">
        <w:t>ț</w:t>
      </w:r>
      <w:r>
        <w:t>ia devierilor până la includerea acestora în tarif. Repartizarea devierilor tarifare pe tipul de re</w:t>
      </w:r>
      <w:r w:rsidR="00782F78">
        <w:t>ț</w:t>
      </w:r>
      <w:r>
        <w:t>ele electrice de distribu</w:t>
      </w:r>
      <w:r w:rsidR="00782F78">
        <w:t>ț</w:t>
      </w:r>
      <w:r>
        <w:t>ie se efectuează propor</w:t>
      </w:r>
      <w:r w:rsidR="00782F78">
        <w:t>ț</w:t>
      </w:r>
      <w:r>
        <w:t>ional cantită</w:t>
      </w:r>
      <w:r w:rsidR="00782F78">
        <w:t>ț</w:t>
      </w:r>
      <w:r>
        <w:t>ilor de energie electrică distribuită prin aceste re</w:t>
      </w:r>
      <w:r w:rsidR="00782F78">
        <w:t>ț</w:t>
      </w:r>
      <w:r w:rsidR="001B0598">
        <w:t>ele conform formulelor:</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CB25EB" w:rsidRDefault="00A726DA">
      <w:pPr>
        <w:pStyle w:val="cn"/>
      </w:pPr>
      <m:oMathPara>
        <m:oMath>
          <m:sSub>
            <m:sSubPr>
              <m:ctrlPr>
                <w:rPr>
                  <w:rFonts w:ascii="Cambria Math" w:hAnsi="Cambria Math"/>
                  <w:i/>
                </w:rPr>
              </m:ctrlPr>
            </m:sSubPr>
            <m:e>
              <m:r>
                <w:rPr>
                  <w:rFonts w:ascii="Cambria Math" w:hAnsi="Cambria Math"/>
                </w:rPr>
                <m:t>Dev</m:t>
              </m:r>
            </m:e>
            <m:sub>
              <m:r>
                <w:rPr>
                  <w:rFonts w:ascii="Cambria Math" w:hAnsi="Cambria Math"/>
                </w:rPr>
                <m:t>nît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Dev</m:t>
                  </m:r>
                </m:e>
                <m:sub>
                  <m:r>
                    <w:rPr>
                      <w:rFonts w:ascii="Cambria Math" w:hAnsi="Cambria Math"/>
                    </w:rPr>
                    <m:t>n-1</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nît</m:t>
              </m:r>
            </m:sub>
          </m:sSub>
          <m:r>
            <w:rPr>
              <w:rFonts w:ascii="Cambria Math" w:hAnsi="Cambria Math"/>
            </w:rPr>
            <m:t xml:space="preserve">   (21)</m:t>
          </m:r>
        </m:oMath>
      </m:oMathPara>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CB25EB" w:rsidRDefault="00A726DA" w:rsidP="00CB25EB">
      <w:pPr>
        <w:pStyle w:val="cn"/>
      </w:pPr>
      <m:oMathPara>
        <m:oMath>
          <m:sSub>
            <m:sSubPr>
              <m:ctrlPr>
                <w:rPr>
                  <w:rFonts w:ascii="Cambria Math" w:hAnsi="Cambria Math"/>
                  <w:i/>
                </w:rPr>
              </m:ctrlPr>
            </m:sSubPr>
            <m:e>
              <m:r>
                <w:rPr>
                  <w:rFonts w:ascii="Cambria Math" w:hAnsi="Cambria Math"/>
                </w:rPr>
                <m:t>Dev</m:t>
              </m:r>
            </m:e>
            <m:sub>
              <m:r>
                <w:rPr>
                  <w:rFonts w:ascii="Cambria Math" w:hAnsi="Cambria Math"/>
                </w:rPr>
                <m:t>nmt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Dev</m:t>
                  </m:r>
                </m:e>
                <m:sub>
                  <m:r>
                    <w:rPr>
                      <w:rFonts w:ascii="Cambria Math" w:hAnsi="Cambria Math"/>
                    </w:rPr>
                    <m:t>n-1</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nmt</m:t>
              </m:r>
            </m:sub>
          </m:sSub>
          <m:r>
            <w:rPr>
              <w:rFonts w:ascii="Cambria Math" w:hAnsi="Cambria Math"/>
            </w:rPr>
            <m:t xml:space="preserve">   (22)</m:t>
          </m:r>
        </m:oMath>
      </m:oMathPara>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pPr>
        <w:pStyle w:val="NormalWeb"/>
      </w:pPr>
      <w:r>
        <w:t> </w:t>
      </w:r>
    </w:p>
    <w:p w:rsidR="00CB25EB" w:rsidRDefault="00A726DA">
      <w:pPr>
        <w:pStyle w:val="cn"/>
      </w:pPr>
      <m:oMathPara>
        <m:oMath>
          <m:sSub>
            <m:sSubPr>
              <m:ctrlPr>
                <w:rPr>
                  <w:rFonts w:ascii="Cambria Math" w:hAnsi="Cambria Math"/>
                  <w:i/>
                </w:rPr>
              </m:ctrlPr>
            </m:sSubPr>
            <m:e>
              <m:r>
                <w:rPr>
                  <w:rFonts w:ascii="Cambria Math" w:hAnsi="Cambria Math"/>
                </w:rPr>
                <m:t>Dev</m:t>
              </m:r>
            </m:e>
            <m:sub>
              <m:r>
                <w:rPr>
                  <w:rFonts w:ascii="Cambria Math" w:hAnsi="Cambria Math"/>
                </w:rPr>
                <m:t>njt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Dev</m:t>
                  </m:r>
                </m:e>
                <m:sub>
                  <m:r>
                    <w:rPr>
                      <w:rFonts w:ascii="Cambria Math" w:hAnsi="Cambria Math"/>
                    </w:rPr>
                    <m:t>n-1</m:t>
                  </m:r>
                </m:sub>
              </m:sSub>
            </m:num>
            <m:den>
              <m:sSub>
                <m:sSubPr>
                  <m:ctrlPr>
                    <w:rPr>
                      <w:rFonts w:ascii="Cambria Math" w:hAnsi="Cambria Math"/>
                      <w:i/>
                    </w:rPr>
                  </m:ctrlPr>
                </m:sSubPr>
                <m:e>
                  <m:r>
                    <w:rPr>
                      <w:rFonts w:ascii="Cambria Math" w:hAnsi="Cambria Math"/>
                    </w:rPr>
                    <m:t>ED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ED</m:t>
              </m:r>
            </m:e>
            <m:sub>
              <m:r>
                <w:rPr>
                  <w:rFonts w:ascii="Cambria Math" w:hAnsi="Cambria Math"/>
                </w:rPr>
                <m:t>njt</m:t>
              </m:r>
            </m:sub>
          </m:sSub>
          <m:r>
            <w:rPr>
              <w:rFonts w:ascii="Cambria Math" w:hAnsi="Cambria Math"/>
            </w:rPr>
            <m:t xml:space="preserve">   (23)</m:t>
          </m:r>
        </m:oMath>
      </m:oMathPara>
    </w:p>
    <w:p w:rsidR="001C5006" w:rsidRDefault="00A92D31">
      <w:pPr>
        <w:pStyle w:val="NormalWeb"/>
      </w:pPr>
      <w:r>
        <w:t> </w:t>
      </w:r>
    </w:p>
    <w:p w:rsidR="001C5006" w:rsidRDefault="00A92D31">
      <w:pPr>
        <w:pStyle w:val="NormalWeb"/>
      </w:pPr>
      <w:r>
        <w:rPr>
          <w:b/>
          <w:bCs/>
        </w:rPr>
        <w:t>17.</w:t>
      </w:r>
      <w:r>
        <w:t xml:space="preserve"> În total costurile </w:t>
      </w:r>
      <w:r w:rsidR="00D47D1C">
        <w:t xml:space="preserve">și cheltuielile </w:t>
      </w:r>
      <w:r>
        <w:t>activită</w:t>
      </w:r>
      <w:r w:rsidR="00782F78">
        <w:t>ț</w:t>
      </w:r>
      <w:r>
        <w:t>ii de distribu</w:t>
      </w:r>
      <w:r w:rsidR="00782F78">
        <w:t>ț</w:t>
      </w:r>
      <w:r>
        <w:t>ie a energiei electrice, aferente fiecărui tip de re</w:t>
      </w:r>
      <w:r w:rsidR="00782F78">
        <w:t>ț</w:t>
      </w:r>
      <w:r>
        <w:t>ea electrică de distribu</w:t>
      </w:r>
      <w:r w:rsidR="00782F78">
        <w:t>ț</w:t>
      </w:r>
      <w:r>
        <w:t>ie, în anul “n”, au următoarea componen</w:t>
      </w:r>
      <w:r w:rsidR="00782F78">
        <w:t>ț</w:t>
      </w:r>
      <w:r>
        <w:t>ă:</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1C5006" w:rsidRDefault="00A92D31">
      <w:pPr>
        <w:pStyle w:val="cn"/>
      </w:pPr>
      <w:r>
        <w:rPr>
          <w:i/>
          <w:iCs/>
        </w:rPr>
        <w:t>CD</w:t>
      </w:r>
      <w:r w:rsidR="00AD2A37">
        <w:rPr>
          <w:i/>
          <w:iCs/>
          <w:vertAlign w:val="subscript"/>
        </w:rPr>
        <w:t>nî</w:t>
      </w:r>
      <w:r>
        <w:rPr>
          <w:i/>
          <w:iCs/>
          <w:vertAlign w:val="subscript"/>
        </w:rPr>
        <w:t>t</w:t>
      </w:r>
      <w:r>
        <w:rPr>
          <w:i/>
          <w:iCs/>
        </w:rPr>
        <w:t xml:space="preserve"> = CDD</w:t>
      </w:r>
      <w:r w:rsidR="00AD2A37">
        <w:rPr>
          <w:i/>
          <w:iCs/>
          <w:vertAlign w:val="subscript"/>
        </w:rPr>
        <w:t>nî</w:t>
      </w:r>
      <w:r>
        <w:rPr>
          <w:i/>
          <w:iCs/>
          <w:vertAlign w:val="subscript"/>
        </w:rPr>
        <w:t xml:space="preserve">t </w:t>
      </w:r>
      <w:r>
        <w:rPr>
          <w:i/>
          <w:iCs/>
        </w:rPr>
        <w:t>+ ACD</w:t>
      </w:r>
      <w:r w:rsidR="00AD2A37">
        <w:rPr>
          <w:i/>
          <w:iCs/>
          <w:vertAlign w:val="subscript"/>
        </w:rPr>
        <w:t>nî</w:t>
      </w:r>
      <w:r>
        <w:rPr>
          <w:i/>
          <w:iCs/>
          <w:vertAlign w:val="subscript"/>
        </w:rPr>
        <w:t>t</w:t>
      </w:r>
      <w:r>
        <w:rPr>
          <w:i/>
          <w:iCs/>
        </w:rPr>
        <w:t xml:space="preserve"> – Dev</w:t>
      </w:r>
      <w:r w:rsidR="00AD2A37">
        <w:rPr>
          <w:i/>
          <w:iCs/>
          <w:vertAlign w:val="subscript"/>
        </w:rPr>
        <w:t>nî</w:t>
      </w:r>
      <w:r>
        <w:rPr>
          <w:i/>
          <w:iCs/>
          <w:vertAlign w:val="subscript"/>
        </w:rPr>
        <w:t>t</w:t>
      </w:r>
      <w:r>
        <w:t xml:space="preserve"> (24)</w:t>
      </w:r>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1C5006" w:rsidRDefault="00A92D31">
      <w:pPr>
        <w:pStyle w:val="cn"/>
      </w:pPr>
      <w:r>
        <w:rPr>
          <w:i/>
          <w:iCs/>
        </w:rPr>
        <w:t>CD</w:t>
      </w:r>
      <w:r>
        <w:rPr>
          <w:i/>
          <w:iCs/>
          <w:vertAlign w:val="subscript"/>
        </w:rPr>
        <w:t>nmt</w:t>
      </w:r>
      <w:r>
        <w:rPr>
          <w:i/>
          <w:iCs/>
        </w:rPr>
        <w:t xml:space="preserve"> = CDD</w:t>
      </w:r>
      <w:r>
        <w:rPr>
          <w:i/>
          <w:iCs/>
          <w:vertAlign w:val="subscript"/>
        </w:rPr>
        <w:t xml:space="preserve">nmt </w:t>
      </w:r>
      <w:r>
        <w:rPr>
          <w:i/>
          <w:iCs/>
        </w:rPr>
        <w:t>+ ACD</w:t>
      </w:r>
      <w:r>
        <w:rPr>
          <w:i/>
          <w:iCs/>
          <w:vertAlign w:val="subscript"/>
        </w:rPr>
        <w:t>nmt</w:t>
      </w:r>
      <w:r>
        <w:rPr>
          <w:i/>
          <w:iCs/>
        </w:rPr>
        <w:t xml:space="preserve"> – Dev</w:t>
      </w:r>
      <w:r>
        <w:rPr>
          <w:i/>
          <w:iCs/>
          <w:vertAlign w:val="subscript"/>
        </w:rPr>
        <w:t>nmt</w:t>
      </w:r>
      <w:r>
        <w:t xml:space="preserve"> (25)</w:t>
      </w:r>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pPr>
        <w:pStyle w:val="NormalWeb"/>
      </w:pPr>
      <w:r>
        <w:t> </w:t>
      </w:r>
    </w:p>
    <w:p w:rsidR="001C5006" w:rsidRDefault="00A92D31">
      <w:pPr>
        <w:pStyle w:val="cn"/>
      </w:pPr>
      <w:r>
        <w:rPr>
          <w:i/>
          <w:iCs/>
        </w:rPr>
        <w:t>CD</w:t>
      </w:r>
      <w:r>
        <w:rPr>
          <w:i/>
          <w:iCs/>
          <w:vertAlign w:val="subscript"/>
        </w:rPr>
        <w:t>njt</w:t>
      </w:r>
      <w:r>
        <w:rPr>
          <w:i/>
          <w:iCs/>
        </w:rPr>
        <w:t xml:space="preserve"> = CDD</w:t>
      </w:r>
      <w:r>
        <w:rPr>
          <w:i/>
          <w:iCs/>
          <w:vertAlign w:val="subscript"/>
        </w:rPr>
        <w:t xml:space="preserve">njt </w:t>
      </w:r>
      <w:r>
        <w:rPr>
          <w:i/>
          <w:iCs/>
        </w:rPr>
        <w:t>+ ACD</w:t>
      </w:r>
      <w:r>
        <w:rPr>
          <w:i/>
          <w:iCs/>
          <w:vertAlign w:val="subscript"/>
        </w:rPr>
        <w:t>njt</w:t>
      </w:r>
      <w:r>
        <w:rPr>
          <w:i/>
          <w:iCs/>
        </w:rPr>
        <w:t xml:space="preserve"> – Dev</w:t>
      </w:r>
      <w:r>
        <w:rPr>
          <w:i/>
          <w:iCs/>
          <w:vertAlign w:val="subscript"/>
        </w:rPr>
        <w:t>njt</w:t>
      </w:r>
      <w:r>
        <w:t xml:space="preserve"> (26)</w:t>
      </w:r>
    </w:p>
    <w:p w:rsidR="001C5006" w:rsidRDefault="00A92D31">
      <w:pPr>
        <w:pStyle w:val="NormalWeb"/>
      </w:pPr>
      <w:r>
        <w:t> </w:t>
      </w:r>
    </w:p>
    <w:p w:rsidR="001C5006" w:rsidRDefault="00A92D31">
      <w:pPr>
        <w:pStyle w:val="cp"/>
      </w:pPr>
      <w:r>
        <w:t>Sec</w:t>
      </w:r>
      <w:r w:rsidR="00782F78">
        <w:t>ț</w:t>
      </w:r>
      <w:r>
        <w:t>iunea 5</w:t>
      </w:r>
    </w:p>
    <w:p w:rsidR="001C5006" w:rsidRDefault="00A92D31" w:rsidP="001B0598">
      <w:pPr>
        <w:pStyle w:val="cp"/>
        <w:spacing w:after="120"/>
      </w:pPr>
      <w:r>
        <w:t xml:space="preserve">DETERMINAREA COSTURILOR REGLEMENTATE </w:t>
      </w:r>
      <w:r w:rsidR="00782F78">
        <w:t>Ș</w:t>
      </w:r>
      <w:r>
        <w:t>I A CHELTUIELILOR</w:t>
      </w:r>
    </w:p>
    <w:p w:rsidR="00C6496D" w:rsidRDefault="00A92D31" w:rsidP="00C6496D">
      <w:pPr>
        <w:pStyle w:val="NormalWeb"/>
      </w:pPr>
      <w:r>
        <w:rPr>
          <w:b/>
          <w:bCs/>
        </w:rPr>
        <w:t>18.</w:t>
      </w:r>
      <w:r w:rsidR="00C6496D">
        <w:t xml:space="preserve">Amortizarea anuală a mijloacelor fixe </w:t>
      </w:r>
      <w:r w:rsidR="00782F78">
        <w:t>ș</w:t>
      </w:r>
      <w:r w:rsidR="00C6496D">
        <w:t>i imobilizărilor necorporale utilizate pentru desfă</w:t>
      </w:r>
      <w:r w:rsidR="00782F78">
        <w:t>ș</w:t>
      </w:r>
      <w:r w:rsidR="00C6496D">
        <w:t>urarea activită</w:t>
      </w:r>
      <w:r w:rsidR="00782F78">
        <w:t>ț</w:t>
      </w:r>
      <w:r w:rsidR="00C6496D">
        <w:t>ii de distribu</w:t>
      </w:r>
      <w:r w:rsidR="00782F78">
        <w:t>ț</w:t>
      </w:r>
      <w:r w:rsidR="00C6496D">
        <w:t>ie se determină utilizând metoda casării liniare, care conduce la defalcări uniforme a amortizării în componen</w:t>
      </w:r>
      <w:r w:rsidR="00782F78">
        <w:t>ț</w:t>
      </w:r>
      <w:r w:rsidR="00C6496D">
        <w:t xml:space="preserve">a costurilor, pe toată durata de </w:t>
      </w:r>
      <w:r w:rsidR="009035F0">
        <w:t>utilizare</w:t>
      </w:r>
      <w:r w:rsidR="00C6496D">
        <w:t xml:space="preserve"> a mijloacelor fixe </w:t>
      </w:r>
      <w:r w:rsidR="00782F78">
        <w:t>ș</w:t>
      </w:r>
      <w:r w:rsidR="00C6496D">
        <w:t>i a imobilizărilor necorporale, conform formulelor:</w:t>
      </w:r>
    </w:p>
    <w:p w:rsidR="00C6496D" w:rsidRDefault="00C6496D" w:rsidP="00C6496D">
      <w:pPr>
        <w:pStyle w:val="NormalWeb"/>
      </w:pPr>
      <w:r>
        <w:t xml:space="preserve">1) pentru </w:t>
      </w:r>
      <w:r w:rsidR="00A04C6F">
        <w:t>OSD</w:t>
      </w:r>
      <w:r>
        <w:t xml:space="preserve"> cu capital străin:</w:t>
      </w:r>
    </w:p>
    <w:p w:rsidR="00C6496D" w:rsidRDefault="00C6496D" w:rsidP="00C6496D">
      <w:pPr>
        <w:pStyle w:val="NormalWeb"/>
      </w:pPr>
      <w:r>
        <w:t> </w:t>
      </w:r>
    </w:p>
    <w:p w:rsidR="00C6496D" w:rsidRDefault="00A726DA" w:rsidP="00C6496D">
      <w:pPr>
        <w:pStyle w:val="cn"/>
      </w:pPr>
      <m:oMathPara>
        <m:oMath>
          <m:sSub>
            <m:sSubPr>
              <m:ctrlPr>
                <w:rPr>
                  <w:rFonts w:ascii="Cambria Math" w:hAnsi="Cambria Math"/>
                  <w:i/>
                </w:rPr>
              </m:ctrlPr>
            </m:sSubPr>
            <m:e>
              <m:r>
                <w:rPr>
                  <w:rFonts w:ascii="Cambria Math" w:hAnsi="Cambria Math"/>
                </w:rPr>
                <m:t>AAD</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rPr>
                        <m:t>VIAD</m:t>
                      </m:r>
                    </m:e>
                    <m:sub>
                      <m:r>
                        <w:rPr>
                          <w:rFonts w:ascii="Cambria Math" w:hAnsi="Cambria Math"/>
                        </w:rPr>
                        <m:t>kn-1</m:t>
                      </m:r>
                    </m:sub>
                  </m:sSub>
                </m:num>
                <m:den>
                  <m:sSub>
                    <m:sSubPr>
                      <m:ctrlPr>
                        <w:rPr>
                          <w:rFonts w:ascii="Cambria Math" w:hAnsi="Cambria Math"/>
                          <w:i/>
                        </w:rPr>
                      </m:ctrlPr>
                    </m:sSubPr>
                    <m:e>
                      <m:r>
                        <w:rPr>
                          <w:rFonts w:ascii="Cambria Math" w:hAnsi="Cambria Math"/>
                        </w:rPr>
                        <m:t>DV</m:t>
                      </m:r>
                    </m:e>
                    <m:sub>
                      <m:r>
                        <w:rPr>
                          <w:rFonts w:ascii="Cambria Math" w:hAnsi="Cambria Math"/>
                        </w:rPr>
                        <m:t>k</m:t>
                      </m:r>
                    </m:sub>
                  </m:sSub>
                </m:den>
              </m:f>
            </m:e>
          </m:nary>
          <m:r>
            <w:rPr>
              <w:rFonts w:ascii="Cambria Math" w:hAnsi="Cambria Math"/>
            </w:rPr>
            <m:t>×Lei</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 xml:space="preserve">   (27)</m:t>
          </m:r>
        </m:oMath>
      </m:oMathPara>
    </w:p>
    <w:p w:rsidR="00C6496D" w:rsidRDefault="00C6496D" w:rsidP="00C6496D">
      <w:pPr>
        <w:pStyle w:val="NormalWeb"/>
      </w:pPr>
      <w:r>
        <w:t> </w:t>
      </w:r>
    </w:p>
    <w:p w:rsidR="00C6496D" w:rsidRDefault="00C6496D" w:rsidP="00C6496D">
      <w:pPr>
        <w:pStyle w:val="NormalWeb"/>
      </w:pPr>
      <w:r>
        <w:t>2) pentru ceilal</w:t>
      </w:r>
      <w:r w:rsidR="00782F78">
        <w:t>ț</w:t>
      </w:r>
      <w:r>
        <w:t>i OSD:</w:t>
      </w:r>
    </w:p>
    <w:p w:rsidR="00C6496D" w:rsidRDefault="00C6496D" w:rsidP="00C6496D">
      <w:pPr>
        <w:pStyle w:val="NormalWeb"/>
      </w:pPr>
      <w:r>
        <w:t> </w:t>
      </w:r>
    </w:p>
    <w:p w:rsidR="00C6496D" w:rsidRDefault="00A726DA" w:rsidP="00C6496D">
      <w:pPr>
        <w:pStyle w:val="cn"/>
      </w:pPr>
      <m:oMathPara>
        <m:oMath>
          <m:sSub>
            <m:sSubPr>
              <m:ctrlPr>
                <w:rPr>
                  <w:rFonts w:ascii="Cambria Math" w:hAnsi="Cambria Math"/>
                  <w:i/>
                </w:rPr>
              </m:ctrlPr>
            </m:sSubPr>
            <m:e>
              <m:r>
                <w:rPr>
                  <w:rFonts w:ascii="Cambria Math" w:hAnsi="Cambria Math"/>
                </w:rPr>
                <m:t>AAD</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rPr>
                        <m:t>VIAD</m:t>
                      </m:r>
                    </m:e>
                    <m:sub>
                      <m:r>
                        <w:rPr>
                          <w:rFonts w:ascii="Cambria Math" w:hAnsi="Cambria Math"/>
                        </w:rPr>
                        <m:t>kn-1</m:t>
                      </m:r>
                    </m:sub>
                  </m:sSub>
                </m:num>
                <m:den>
                  <m:sSub>
                    <m:sSubPr>
                      <m:ctrlPr>
                        <w:rPr>
                          <w:rFonts w:ascii="Cambria Math" w:hAnsi="Cambria Math"/>
                          <w:i/>
                        </w:rPr>
                      </m:ctrlPr>
                    </m:sSubPr>
                    <m:e>
                      <m:r>
                        <w:rPr>
                          <w:rFonts w:ascii="Cambria Math" w:hAnsi="Cambria Math"/>
                        </w:rPr>
                        <m:t>DV</m:t>
                      </m:r>
                    </m:e>
                    <m:sub>
                      <m:r>
                        <w:rPr>
                          <w:rFonts w:ascii="Cambria Math" w:hAnsi="Cambria Math"/>
                        </w:rPr>
                        <m:t>k</m:t>
                      </m:r>
                    </m:sub>
                  </m:sSub>
                </m:den>
              </m:f>
            </m:e>
          </m:nary>
          <m:r>
            <w:rPr>
              <w:rFonts w:ascii="Cambria Math" w:hAnsi="Cambria Math"/>
            </w:rPr>
            <m:t xml:space="preserve">   (28)</m:t>
          </m:r>
        </m:oMath>
      </m:oMathPara>
    </w:p>
    <w:p w:rsidR="00C6496D" w:rsidRDefault="00C6496D" w:rsidP="00C6496D">
      <w:pPr>
        <w:pStyle w:val="NormalWeb"/>
      </w:pPr>
      <w:r>
        <w:t>unde:</w:t>
      </w:r>
    </w:p>
    <w:p w:rsidR="00C6496D" w:rsidRDefault="00C6496D" w:rsidP="00C6496D">
      <w:pPr>
        <w:pStyle w:val="NormalWeb"/>
      </w:pPr>
      <w:r>
        <w:rPr>
          <w:i/>
          <w:iCs/>
        </w:rPr>
        <w:lastRenderedPageBreak/>
        <w:t>DV</w:t>
      </w:r>
      <w:r>
        <w:rPr>
          <w:i/>
          <w:iCs/>
          <w:vertAlign w:val="subscript"/>
        </w:rPr>
        <w:t>k</w:t>
      </w:r>
      <w:r>
        <w:t xml:space="preserve"> – durata de </w:t>
      </w:r>
      <w:r w:rsidR="009035F0">
        <w:t>utilizare</w:t>
      </w:r>
      <w:r>
        <w:t xml:space="preserve"> a mijloacelor fixe </w:t>
      </w:r>
      <w:r w:rsidR="00782F78">
        <w:t>ș</w:t>
      </w:r>
      <w:r>
        <w:t>i a imobilizărilor necorporale de categoria “k”, care trebuie să corespundă duratei reale de via</w:t>
      </w:r>
      <w:r w:rsidR="00782F78">
        <w:t>ț</w:t>
      </w:r>
      <w:r>
        <w:t xml:space="preserve">ă a activului. Totodată, această durată nu poate fi mai mică decât durata indicată în Catalogul mijloacelor fixe </w:t>
      </w:r>
      <w:r w:rsidR="00782F78">
        <w:t>ș</w:t>
      </w:r>
      <w:r>
        <w:t>i activelor nemateriale, aprobat prin Hotărârea Guvernului nr.338 din 21.03 2003;</w:t>
      </w:r>
    </w:p>
    <w:p w:rsidR="00C6496D" w:rsidRDefault="00C6496D" w:rsidP="00C6496D">
      <w:pPr>
        <w:pStyle w:val="NormalWeb"/>
      </w:pPr>
      <w:r>
        <w:rPr>
          <w:i/>
          <w:iCs/>
        </w:rPr>
        <w:t>LeiD</w:t>
      </w:r>
      <w:r>
        <w:rPr>
          <w:i/>
          <w:iCs/>
          <w:vertAlign w:val="subscript"/>
        </w:rPr>
        <w:t>n</w:t>
      </w:r>
      <w:r>
        <w:t>– cursul oficial, mediu de schimb al leului moldovenesc fa</w:t>
      </w:r>
      <w:r w:rsidR="00782F78">
        <w:t>ț</w:t>
      </w:r>
      <w:r>
        <w:t>ă de dolarul SUA în anul “n”;</w:t>
      </w:r>
    </w:p>
    <w:p w:rsidR="00C6496D" w:rsidRDefault="00C6496D" w:rsidP="001B0598">
      <w:pPr>
        <w:pStyle w:val="NormalWeb"/>
        <w:spacing w:after="120"/>
      </w:pPr>
      <w:r>
        <w:rPr>
          <w:i/>
          <w:iCs/>
        </w:rPr>
        <w:t>VIADk</w:t>
      </w:r>
      <w:r>
        <w:rPr>
          <w:i/>
          <w:iCs/>
          <w:vertAlign w:val="subscript"/>
        </w:rPr>
        <w:t>n-1</w:t>
      </w:r>
      <w:r>
        <w:rPr>
          <w:vertAlign w:val="subscript"/>
        </w:rPr>
        <w:t xml:space="preserve"> – </w:t>
      </w:r>
      <w:r>
        <w:t xml:space="preserve">costul de intrare a mijloacelor fixe </w:t>
      </w:r>
      <w:r w:rsidR="00782F78">
        <w:t>ș</w:t>
      </w:r>
      <w:r>
        <w:t>i a imobilizărilor necorporale din categoria “k”, aferente activită</w:t>
      </w:r>
      <w:r w:rsidR="00782F78">
        <w:t>ț</w:t>
      </w:r>
      <w:r>
        <w:t>ii de distribu</w:t>
      </w:r>
      <w:r w:rsidR="00782F78">
        <w:t>ț</w:t>
      </w:r>
      <w:r>
        <w:t xml:space="preserve">ie, </w:t>
      </w:r>
      <w:r w:rsidR="00C07277">
        <w:t>transmise</w:t>
      </w:r>
      <w:r>
        <w:t xml:space="preserve"> în exploatare</w:t>
      </w:r>
      <w:r w:rsidR="00A04C6F">
        <w:t xml:space="preserve"> din</w:t>
      </w:r>
      <w:r w:rsidR="009B1383">
        <w:t>anul privatizării</w:t>
      </w:r>
      <w:r w:rsidR="00782F78">
        <w:t>ș</w:t>
      </w:r>
      <w:r>
        <w:t>i până la finele anului “n-1”în urma investi</w:t>
      </w:r>
      <w:r w:rsidR="00782F78">
        <w:t>ț</w:t>
      </w:r>
      <w:r>
        <w:t>iilor efectuate conform planurilor de investi</w:t>
      </w:r>
      <w:r w:rsidR="00782F78">
        <w:t>ț</w:t>
      </w:r>
      <w:r>
        <w:t xml:space="preserve">ii aprobate de </w:t>
      </w:r>
      <w:r w:rsidR="00EB553F">
        <w:t>Agenție</w:t>
      </w:r>
      <w:r>
        <w:t>. Pentru ceilal</w:t>
      </w:r>
      <w:r w:rsidR="00782F78">
        <w:t>ț</w:t>
      </w:r>
      <w:r>
        <w:t xml:space="preserve">i OSD, componenta </w:t>
      </w:r>
      <w:r>
        <w:rPr>
          <w:i/>
          <w:iCs/>
        </w:rPr>
        <w:t>VIADk</w:t>
      </w:r>
      <w:r>
        <w:rPr>
          <w:i/>
          <w:iCs/>
          <w:vertAlign w:val="subscript"/>
        </w:rPr>
        <w:t>n-1</w:t>
      </w:r>
      <w:r>
        <w:t xml:space="preserve"> este egală cu costul de intrare a mijloacelor fixe </w:t>
      </w:r>
      <w:r w:rsidR="00782F78">
        <w:t>ș</w:t>
      </w:r>
      <w:r>
        <w:t>i a imobilizărilor necorporale din categoria “k”, afere</w:t>
      </w:r>
      <w:r w:rsidR="00C07277">
        <w:t>nte activită</w:t>
      </w:r>
      <w:r w:rsidR="00782F78">
        <w:t>ț</w:t>
      </w:r>
      <w:r w:rsidR="00C07277">
        <w:t>ii de distribu</w:t>
      </w:r>
      <w:r w:rsidR="00782F78">
        <w:t>ț</w:t>
      </w:r>
      <w:r w:rsidR="00C07277">
        <w:t xml:space="preserve">ie, transmise </w:t>
      </w:r>
      <w:r>
        <w:t>în exploatare până la finele anului “n-1”, în urma investi</w:t>
      </w:r>
      <w:r w:rsidR="00782F78">
        <w:t>ț</w:t>
      </w:r>
      <w:r>
        <w:t>iilor efectuate în conformitate cu planurile de investi</w:t>
      </w:r>
      <w:r w:rsidR="00782F78">
        <w:t>ț</w:t>
      </w:r>
      <w:r>
        <w:t xml:space="preserve">ii aprobate de </w:t>
      </w:r>
      <w:r w:rsidR="00EB553F">
        <w:t>Agenție</w:t>
      </w:r>
      <w:r>
        <w:t xml:space="preserve">. Categoriile “k” se formează prin gruparea mijloacelor fixe </w:t>
      </w:r>
      <w:r w:rsidR="00782F78">
        <w:t>ș</w:t>
      </w:r>
      <w:r>
        <w:t>i a imobilizărilor necorporale cu durată de func</w:t>
      </w:r>
      <w:r w:rsidR="00782F78">
        <w:t>ț</w:t>
      </w:r>
      <w:r>
        <w:t>ionare utilă identică. Nu se includ în calculul costului de intrare următoarele active: terenurile; mijloacele fixe neutilizate în activitatea de distribu</w:t>
      </w:r>
      <w:r w:rsidR="00782F78">
        <w:t>ț</w:t>
      </w:r>
      <w:r>
        <w:t>ie; activele finan</w:t>
      </w:r>
      <w:r w:rsidR="00782F78">
        <w:t>ț</w:t>
      </w:r>
      <w:r>
        <w:t>ate din contribu</w:t>
      </w:r>
      <w:r w:rsidR="00782F78">
        <w:t>ț</w:t>
      </w:r>
      <w:r>
        <w:t xml:space="preserve">ii financiare, indiferent care este sursa acestora; activele primite cu titlul gratuit </w:t>
      </w:r>
      <w:r w:rsidR="00782F78">
        <w:t>ș</w:t>
      </w:r>
      <w:r>
        <w:t>i din dona</w:t>
      </w:r>
      <w:r w:rsidR="00782F78">
        <w:t>ț</w:t>
      </w:r>
      <w:r>
        <w:t>ii; mijloace fixe ob</w:t>
      </w:r>
      <w:r w:rsidR="00782F78">
        <w:t>ț</w:t>
      </w:r>
      <w:r>
        <w:t>inute în rezultatul racordării la re</w:t>
      </w:r>
      <w:r w:rsidR="00782F78">
        <w:t>ț</w:t>
      </w:r>
      <w:r>
        <w:t>elele electrice de distribu</w:t>
      </w:r>
      <w:r w:rsidR="00782F78">
        <w:t>ț</w:t>
      </w:r>
      <w:r>
        <w:t>ie; activele aferente altor activită</w:t>
      </w:r>
      <w:r w:rsidR="00782F78">
        <w:t>ț</w:t>
      </w:r>
      <w:r>
        <w:t>i decât cea de distribu</w:t>
      </w:r>
      <w:r w:rsidR="00782F78">
        <w:t>ț</w:t>
      </w:r>
      <w:r>
        <w:t>ie a energiei electrice; activele cu destina</w:t>
      </w:r>
      <w:r w:rsidR="00782F78">
        <w:t>ț</w:t>
      </w:r>
      <w:r>
        <w:t xml:space="preserve">ie locativ-comunală, social culturală; mijloacele fixe </w:t>
      </w:r>
      <w:r w:rsidR="00782F78">
        <w:t>ș</w:t>
      </w:r>
      <w:r>
        <w:t xml:space="preserve">i a imobilizările necorporale </w:t>
      </w:r>
      <w:r w:rsidR="00C07277">
        <w:t>transmise</w:t>
      </w:r>
      <w:r>
        <w:t xml:space="preserve"> în exploatare de către OSD în afara planurilor de investi</w:t>
      </w:r>
      <w:r w:rsidR="00782F78">
        <w:t>ț</w:t>
      </w:r>
      <w:r>
        <w:t>ii aprobate de Agen</w:t>
      </w:r>
      <w:r w:rsidR="00782F78">
        <w:t>ț</w:t>
      </w:r>
      <w:r w:rsidR="001B0598">
        <w:t>ie.</w:t>
      </w:r>
    </w:p>
    <w:p w:rsidR="001C5006" w:rsidRPr="000F5696" w:rsidRDefault="00A92D31" w:rsidP="00B9793F">
      <w:pPr>
        <w:pStyle w:val="NormalWeb"/>
        <w:spacing w:after="120"/>
      </w:pPr>
      <w:r>
        <w:rPr>
          <w:b/>
          <w:bCs/>
        </w:rPr>
        <w:t>19.</w:t>
      </w:r>
      <w:r w:rsidR="00D97732" w:rsidRPr="00B42EF4">
        <w:t xml:space="preserve">În cazul reevaluării de către OSD a mijloacelor fixe </w:t>
      </w:r>
      <w:r w:rsidR="00D97732" w:rsidRPr="000674EE">
        <w:t>și a imobilizărilor necorporale incluse în</w:t>
      </w:r>
      <w:r w:rsidR="00D97732" w:rsidRPr="00F90116">
        <w:t xml:space="preserve"> baza reglementată a activelor</w:t>
      </w:r>
      <w:r w:rsidR="00D97732" w:rsidRPr="000674EE">
        <w:t xml:space="preserve"> (VNAD), valoarea maximă de creștere a amortizării în tarif în urma reevaluării nu va depăși pentru OSD cu capital străin valoarea cumulativă a indicelui prețurilor </w:t>
      </w:r>
      <w:r w:rsidR="00D97732">
        <w:t>de consum</w:t>
      </w:r>
      <w:r w:rsidR="00D97732" w:rsidRPr="000674EE">
        <w:t xml:space="preserve"> al SUA, înregistrat, în perioada de la anul reevaluării </w:t>
      </w:r>
      <w:r w:rsidR="00D97732" w:rsidRPr="00B42EF4">
        <w:t xml:space="preserve">precedente </w:t>
      </w:r>
      <w:r w:rsidR="00D97732">
        <w:t>ș</w:t>
      </w:r>
      <w:r w:rsidR="00D97732" w:rsidRPr="00B42EF4">
        <w:t>i până în anul în care se efectuează reevaluarea curentă, publicat anual de către Departamentul Muncii al SUA, iar pentru ceilal</w:t>
      </w:r>
      <w:r w:rsidR="00D97732">
        <w:t>ț</w:t>
      </w:r>
      <w:r w:rsidR="00D97732" w:rsidRPr="00B42EF4">
        <w:t>i OSD valoarea cumulativă a indicelui pre</w:t>
      </w:r>
      <w:r w:rsidR="00D97732">
        <w:t>ț</w:t>
      </w:r>
      <w:r w:rsidR="00D97732" w:rsidRPr="00B42EF4">
        <w:t>urilor din industria construc</w:t>
      </w:r>
      <w:r w:rsidR="00D97732">
        <w:t>ț</w:t>
      </w:r>
      <w:r w:rsidR="00D97732" w:rsidRPr="00B42EF4">
        <w:t xml:space="preserve">iilor, înregistrat, în perioada de la anul reevaluării precedente </w:t>
      </w:r>
      <w:r w:rsidR="00D97732">
        <w:t>ș</w:t>
      </w:r>
      <w:r w:rsidR="00D97732" w:rsidRPr="00B42EF4">
        <w:t>i până în anul în care se efectuează reevaluarea curentă, publicat anual de Biroul Na</w:t>
      </w:r>
      <w:r w:rsidR="00D97732">
        <w:t>ț</w:t>
      </w:r>
      <w:r w:rsidR="00D97732" w:rsidRPr="00B42EF4">
        <w:t xml:space="preserve">ional de Statistică al Republicii </w:t>
      </w:r>
      <w:r w:rsidR="00D97732" w:rsidRPr="000F5696">
        <w:t>Moldova. În caz</w:t>
      </w:r>
      <w:r w:rsidR="00D97732" w:rsidRPr="00F90116">
        <w:t>urile</w:t>
      </w:r>
      <w:r w:rsidR="00D97732" w:rsidRPr="000F5696">
        <w:t>, când reevaluarea este efectuată de o companie internațională</w:t>
      </w:r>
      <w:r w:rsidR="00D97732">
        <w:t xml:space="preserve"> de audit</w:t>
      </w:r>
      <w:r w:rsidR="00D97732" w:rsidRPr="000F5696">
        <w:t xml:space="preserve"> licențiată,</w:t>
      </w:r>
      <w:r w:rsidR="00D97732">
        <w:t xml:space="preserve"> Agenția poate contesta</w:t>
      </w:r>
      <w:r w:rsidR="00D97732" w:rsidRPr="00F90116">
        <w:t xml:space="preserve"> aceast</w:t>
      </w:r>
      <w:r w:rsidR="00D97732">
        <w:t>ă reevaluare numai din</w:t>
      </w:r>
      <w:r w:rsidR="00D97732" w:rsidRPr="000F5696">
        <w:t xml:space="preserve"> motive justificate. Totodată, în cazul reevaluării mijloacelor fixe incluse în VNAD, nu se admite includerea în calculul tarifului a amortizării mijloacelor fixe pe deplin depreciate tarifar</w:t>
      </w:r>
      <w:r w:rsidRPr="000F5696">
        <w:t>.</w:t>
      </w:r>
    </w:p>
    <w:p w:rsidR="001C5006" w:rsidRDefault="00A92D31">
      <w:pPr>
        <w:pStyle w:val="NormalWeb"/>
      </w:pPr>
      <w:r>
        <w:rPr>
          <w:b/>
          <w:bCs/>
        </w:rPr>
        <w:t>20.</w:t>
      </w:r>
      <w:r>
        <w:t xml:space="preserve"> Apartenen</w:t>
      </w:r>
      <w:r w:rsidR="00782F78">
        <w:t>ț</w:t>
      </w:r>
      <w:r>
        <w:t xml:space="preserve">a mijloacelor fixe </w:t>
      </w:r>
      <w:r w:rsidR="00782F78">
        <w:t>ș</w:t>
      </w:r>
      <w:r>
        <w:t xml:space="preserve">i a imobilizărilor necorporale, determinarea costurilor de intrare, a valorilor nete, </w:t>
      </w:r>
      <w:r w:rsidR="00782F78">
        <w:t>și, ulterior, a amortiză</w:t>
      </w:r>
      <w:r>
        <w:t>rii acestora se efectuează în fiecare an, pentru fiecare tip de re</w:t>
      </w:r>
      <w:r w:rsidR="00782F78">
        <w:t>ț</w:t>
      </w:r>
      <w:r>
        <w:t xml:space="preserve">ea în parte (de înaltă, de medie </w:t>
      </w:r>
      <w:r w:rsidR="00782F78">
        <w:t>ș</w:t>
      </w:r>
      <w:r>
        <w:t>i de joasă tensiune). În componen</w:t>
      </w:r>
      <w:r w:rsidR="00782F78">
        <w:t>ț</w:t>
      </w:r>
      <w:r>
        <w:t xml:space="preserve">a mijloacelor fixe </w:t>
      </w:r>
      <w:r w:rsidR="00782F78">
        <w:t>ș</w:t>
      </w:r>
      <w:r>
        <w:t>i a imobilizărilor necorporale nemijlocit aferente tipului concret de re</w:t>
      </w:r>
      <w:r w:rsidR="00782F78">
        <w:t>ț</w:t>
      </w:r>
      <w:r>
        <w:t>ea electrică de distribu</w:t>
      </w:r>
      <w:r w:rsidR="00782F78">
        <w:t>ț</w:t>
      </w:r>
      <w:r>
        <w:t>ie se includ:</w:t>
      </w:r>
    </w:p>
    <w:p w:rsidR="001C5006" w:rsidRDefault="00A92D31">
      <w:pPr>
        <w:pStyle w:val="NormalWeb"/>
      </w:pPr>
      <w:r>
        <w:t>1) în re</w:t>
      </w:r>
      <w:r w:rsidR="00782F78">
        <w:t>ț</w:t>
      </w:r>
      <w:r>
        <w:t>elele electrice de distribu</w:t>
      </w:r>
      <w:r w:rsidR="00782F78">
        <w:t>ț</w:t>
      </w:r>
      <w:r>
        <w:t xml:space="preserve">ie de </w:t>
      </w:r>
      <w:r>
        <w:rPr>
          <w:lang w:val="en-US"/>
        </w:rPr>
        <w:t>”</w:t>
      </w:r>
      <w:r>
        <w:t xml:space="preserve">TÎ” – liniile electrice aeriene </w:t>
      </w:r>
      <w:r w:rsidR="00782F78">
        <w:t>ș</w:t>
      </w:r>
      <w:r>
        <w:t xml:space="preserve">i subterane de 35-110 kV, echipamentele de măsurare a energiei electrice în scopuri comerciale – mijloace fixe ale OSD, </w:t>
      </w:r>
      <w:r w:rsidR="00C6496D" w:rsidRPr="00C6496D">
        <w:t>transmise</w:t>
      </w:r>
      <w:r>
        <w:t>în exploatare în conformitate cu planurile de investi</w:t>
      </w:r>
      <w:r w:rsidR="00782F78">
        <w:t>ț</w:t>
      </w:r>
      <w:r>
        <w:t xml:space="preserve">ii aprobate de </w:t>
      </w:r>
      <w:r w:rsidR="00EB553F">
        <w:t>Agenție</w:t>
      </w:r>
      <w:r>
        <w:t xml:space="preserve"> în scopuri tarifare, alte mijloace fixe </w:t>
      </w:r>
      <w:r w:rsidR="00782F78">
        <w:t>ș</w:t>
      </w:r>
      <w:r>
        <w:t>i imobilizări necorporale, care apar</w:t>
      </w:r>
      <w:r w:rsidR="00782F78">
        <w:t>ț</w:t>
      </w:r>
      <w:r>
        <w:t>in sau sunt utilizate la deservirea, în exclusivitate, a re</w:t>
      </w:r>
      <w:r w:rsidR="00782F78">
        <w:t>ț</w:t>
      </w:r>
      <w:r>
        <w:t>elelor electrice de distribu</w:t>
      </w:r>
      <w:r w:rsidR="00782F78">
        <w:t>ț</w:t>
      </w:r>
      <w:r>
        <w:t>ie de înaltă tensiune;</w:t>
      </w:r>
    </w:p>
    <w:p w:rsidR="001C5006" w:rsidRDefault="00A92D31">
      <w:pPr>
        <w:pStyle w:val="NormalWeb"/>
      </w:pPr>
      <w:r>
        <w:t>2) în re</w:t>
      </w:r>
      <w:r w:rsidR="00782F78">
        <w:t>ț</w:t>
      </w:r>
      <w:r>
        <w:t>elele electrice de distribu</w:t>
      </w:r>
      <w:r w:rsidR="00782F78">
        <w:t>ț</w:t>
      </w:r>
      <w:r>
        <w:t xml:space="preserve">ie de “TM” – liniile electrice aeriene </w:t>
      </w:r>
      <w:r w:rsidR="00782F78">
        <w:t>ș</w:t>
      </w:r>
      <w:r>
        <w:t>i subterane de 6-10 kV, sta</w:t>
      </w:r>
      <w:r w:rsidR="00782F78">
        <w:t>ț</w:t>
      </w:r>
      <w:r>
        <w:t xml:space="preserve">iile de transformare (transformatoarele) de 110/35/10 kV, de 110/35/6 kV, de 110/10kV, de 110/6kV, de 35/10kV </w:t>
      </w:r>
      <w:r w:rsidR="00782F78">
        <w:t>ș</w:t>
      </w:r>
      <w:r>
        <w:t xml:space="preserve">i de 35/6kV, echipamentele de măsurare a energiei electrice în scopuri comerciale – mijloace fixe ale OSD, </w:t>
      </w:r>
      <w:r w:rsidR="00C6496D" w:rsidRPr="00C6496D">
        <w:t>transmise</w:t>
      </w:r>
      <w:r>
        <w:t xml:space="preserve"> în exploatare în conformitate cu planurile de investi</w:t>
      </w:r>
      <w:r w:rsidR="00782F78">
        <w:t>ț</w:t>
      </w:r>
      <w:r>
        <w:t xml:space="preserve">ii aprobate de </w:t>
      </w:r>
      <w:r w:rsidR="00EB553F">
        <w:t>Agenție</w:t>
      </w:r>
      <w:r>
        <w:t xml:space="preserve"> în scopuri tarifare, alte mijloace fixe </w:t>
      </w:r>
      <w:r w:rsidR="00782F78">
        <w:t>ș</w:t>
      </w:r>
      <w:r>
        <w:t>i imobilizări necorporale, care apar</w:t>
      </w:r>
      <w:r w:rsidR="00782F78">
        <w:t>ț</w:t>
      </w:r>
      <w:r>
        <w:t>in sau sunt utilizate la deservirea, în exclusivitate, a re</w:t>
      </w:r>
      <w:r w:rsidR="00782F78">
        <w:t>ț</w:t>
      </w:r>
      <w:r>
        <w:t>elelor electrice de distribu</w:t>
      </w:r>
      <w:r w:rsidR="00782F78">
        <w:t>ț</w:t>
      </w:r>
      <w:r>
        <w:t>ie de medie tensiune;</w:t>
      </w:r>
    </w:p>
    <w:p w:rsidR="001C5006" w:rsidRDefault="00A92D31" w:rsidP="00964061">
      <w:pPr>
        <w:pStyle w:val="NormalWeb"/>
        <w:spacing w:after="120"/>
      </w:pPr>
      <w:r>
        <w:t>3) în re</w:t>
      </w:r>
      <w:r w:rsidR="00782F78">
        <w:t>ț</w:t>
      </w:r>
      <w:r>
        <w:t>elele electrice de distribu</w:t>
      </w:r>
      <w:r w:rsidR="00782F78">
        <w:t>ț</w:t>
      </w:r>
      <w:r>
        <w:t>ie de “TJ” – sta</w:t>
      </w:r>
      <w:r w:rsidR="00782F78">
        <w:t>ț</w:t>
      </w:r>
      <w:r>
        <w:t xml:space="preserve">iile de transformare (transformatoarele) 10/0,4 kV, 6/0,4 kV </w:t>
      </w:r>
      <w:r w:rsidR="00782F78">
        <w:t>ș</w:t>
      </w:r>
      <w:r>
        <w:t xml:space="preserve">i mai jos, liniile electrice aeriene </w:t>
      </w:r>
      <w:r w:rsidR="00782F78">
        <w:t>ș</w:t>
      </w:r>
      <w:r>
        <w:t xml:space="preserve">i subterane de 0,4 kV </w:t>
      </w:r>
      <w:r w:rsidR="00782F78">
        <w:t>ș</w:t>
      </w:r>
      <w:r>
        <w:t>i mai jos, instala</w:t>
      </w:r>
      <w:r w:rsidR="00782F78">
        <w:t>ț</w:t>
      </w:r>
      <w:r>
        <w:t xml:space="preserve">iile de racordare </w:t>
      </w:r>
      <w:r w:rsidR="00782F78">
        <w:t>ș</w:t>
      </w:r>
      <w:r>
        <w:t xml:space="preserve">i echipamentele de măsurare a energiei electrice în scopuri comerciale – mijloace fixe </w:t>
      </w:r>
      <w:r>
        <w:lastRenderedPageBreak/>
        <w:t xml:space="preserve">ale OSD, </w:t>
      </w:r>
      <w:r w:rsidR="00C6496D" w:rsidRPr="00C6496D">
        <w:t>transmise</w:t>
      </w:r>
      <w:r>
        <w:t xml:space="preserve"> în exploatare în conformitate cu planurile de investi</w:t>
      </w:r>
      <w:r w:rsidR="00782F78">
        <w:t>ț</w:t>
      </w:r>
      <w:r>
        <w:t xml:space="preserve">ii aprobate de </w:t>
      </w:r>
      <w:r w:rsidR="00EB553F">
        <w:t>Agenție</w:t>
      </w:r>
      <w:r>
        <w:t xml:space="preserve"> în scopuri tarifare, alte mijloace fixe </w:t>
      </w:r>
      <w:r w:rsidR="00782F78">
        <w:t>ș</w:t>
      </w:r>
      <w:r>
        <w:t>i imobilizări necorporale, care apar</w:t>
      </w:r>
      <w:r w:rsidR="00782F78">
        <w:t>ț</w:t>
      </w:r>
      <w:r>
        <w:t>in sau sunt utilizate la deservirea, în exclusivitate, a re</w:t>
      </w:r>
      <w:r w:rsidR="00782F78">
        <w:t>ț</w:t>
      </w:r>
      <w:r>
        <w:t>elelor electrice de distribu</w:t>
      </w:r>
      <w:r w:rsidR="00782F78">
        <w:t>ț</w:t>
      </w:r>
      <w:r>
        <w:t>ie de joasă tensiune.</w:t>
      </w:r>
    </w:p>
    <w:p w:rsidR="001C5006" w:rsidRDefault="002852C1" w:rsidP="00964061">
      <w:pPr>
        <w:pStyle w:val="NormalWeb"/>
        <w:spacing w:after="120"/>
      </w:pPr>
      <w:r>
        <w:rPr>
          <w:b/>
          <w:bCs/>
        </w:rPr>
        <w:t>2</w:t>
      </w:r>
      <w:r w:rsidRPr="00AA0E26">
        <w:rPr>
          <w:b/>
          <w:bCs/>
        </w:rPr>
        <w:t>1</w:t>
      </w:r>
      <w:r w:rsidR="00A92D31">
        <w:rPr>
          <w:b/>
          <w:bCs/>
        </w:rPr>
        <w:t>.</w:t>
      </w:r>
      <w:r w:rsidR="00A92D31">
        <w:t xml:space="preserve"> Mijloacele fixe </w:t>
      </w:r>
      <w:r w:rsidR="00782F78">
        <w:t>ș</w:t>
      </w:r>
      <w:r w:rsidR="00A92D31">
        <w:t>i imobilizările necorporale de distribu</w:t>
      </w:r>
      <w:r w:rsidR="00782F78">
        <w:t>ț</w:t>
      </w:r>
      <w:r w:rsidR="00A92D31">
        <w:t>ie care nu pot fi repartizate direct pe tipul concret de re</w:t>
      </w:r>
      <w:r w:rsidR="00782F78">
        <w:t>ț</w:t>
      </w:r>
      <w:r w:rsidR="00A92D31">
        <w:t xml:space="preserve">ea, mijloacele fixe </w:t>
      </w:r>
      <w:r w:rsidR="00782F78">
        <w:t>ș</w:t>
      </w:r>
      <w:r w:rsidR="00A92D31">
        <w:t>i imobilizările necorporale ale subdiviziunilor auxiliare (de repara</w:t>
      </w:r>
      <w:r w:rsidR="00782F78">
        <w:t>ț</w:t>
      </w:r>
      <w:r w:rsidR="00A92D31">
        <w:t xml:space="preserve">ie, de exploatare, de transport, etc.), mijloacele fixe </w:t>
      </w:r>
      <w:r w:rsidR="00782F78">
        <w:t>ș</w:t>
      </w:r>
      <w:r w:rsidR="00A92D31">
        <w:t>i imobilizările necorporale cu destina</w:t>
      </w:r>
      <w:r w:rsidR="00782F78">
        <w:t>ț</w:t>
      </w:r>
      <w:r w:rsidR="00A92D31">
        <w:t xml:space="preserve">ie de distribuire </w:t>
      </w:r>
      <w:r w:rsidR="00782F78">
        <w:t>ș</w:t>
      </w:r>
      <w:r w:rsidR="00A92D31">
        <w:t xml:space="preserve">i administrativă </w:t>
      </w:r>
      <w:r w:rsidR="00782F78">
        <w:t>ș</w:t>
      </w:r>
      <w:r w:rsidR="00A92D31">
        <w:t>i amortizarea acestora se divizează între re</w:t>
      </w:r>
      <w:r w:rsidR="00782F78">
        <w:t>ț</w:t>
      </w:r>
      <w:r w:rsidR="00A92D31">
        <w:t>elele electrice de distribu</w:t>
      </w:r>
      <w:r w:rsidR="00782F78">
        <w:t>ț</w:t>
      </w:r>
      <w:r w:rsidR="00A92D31">
        <w:t xml:space="preserve">ie de înaltă, de medie </w:t>
      </w:r>
      <w:r w:rsidR="00782F78">
        <w:t>ș</w:t>
      </w:r>
      <w:r w:rsidR="00A92D31">
        <w:t>i de joasă tensiune propor</w:t>
      </w:r>
      <w:r w:rsidR="00782F78">
        <w:t>ț</w:t>
      </w:r>
      <w:r w:rsidR="00A92D31">
        <w:t>ional valorii contabile a mijloacelor fixe aferente nemijlocit fiecărui tip de re</w:t>
      </w:r>
      <w:r w:rsidR="00782F78">
        <w:t>ț</w:t>
      </w:r>
      <w:r w:rsidR="00A92D31">
        <w:t>ea electrică de distribu</w:t>
      </w:r>
      <w:r w:rsidR="00782F78">
        <w:t>ț</w:t>
      </w:r>
      <w:r w:rsidR="00A92D31">
        <w:t xml:space="preserve">ie în parte (de înaltă, de medie </w:t>
      </w:r>
      <w:r w:rsidR="00782F78">
        <w:t>ș</w:t>
      </w:r>
      <w:r w:rsidR="00964061">
        <w:t>i de joasă tensiune).</w:t>
      </w:r>
    </w:p>
    <w:p w:rsidR="001C5006" w:rsidRDefault="002852C1">
      <w:pPr>
        <w:pStyle w:val="NormalWeb"/>
      </w:pPr>
      <w:r>
        <w:rPr>
          <w:b/>
          <w:bCs/>
        </w:rPr>
        <w:t>2</w:t>
      </w:r>
      <w:r w:rsidRPr="00AA0E26">
        <w:rPr>
          <w:b/>
          <w:bCs/>
        </w:rPr>
        <w:t>2</w:t>
      </w:r>
      <w:r w:rsidR="00A92D31">
        <w:rPr>
          <w:b/>
          <w:bCs/>
        </w:rPr>
        <w:t>.</w:t>
      </w:r>
      <w:r w:rsidR="00A92D31">
        <w:t xml:space="preserve"> La costurile de între</w:t>
      </w:r>
      <w:r w:rsidR="00782F78">
        <w:t>ț</w:t>
      </w:r>
      <w:r w:rsidR="00A92D31">
        <w:t>inere a re</w:t>
      </w:r>
      <w:r w:rsidR="00782F78">
        <w:t>ț</w:t>
      </w:r>
      <w:r w:rsidR="00A92D31">
        <w:t>elelor electrice de distribu</w:t>
      </w:r>
      <w:r w:rsidR="00782F78">
        <w:t>ț</w:t>
      </w:r>
      <w:r w:rsidR="00A92D31">
        <w:t>ie (CID) se atribuie toate costurile argumentate, necesare pentru realizarea planurilor de între</w:t>
      </w:r>
      <w:r w:rsidR="00782F78">
        <w:t>ț</w:t>
      </w:r>
      <w:r w:rsidR="00A92D31">
        <w:t xml:space="preserve">inere </w:t>
      </w:r>
      <w:r w:rsidR="00782F78">
        <w:t>ș</w:t>
      </w:r>
      <w:r w:rsidR="00A92D31">
        <w:t>i de repara</w:t>
      </w:r>
      <w:r w:rsidR="00782F78">
        <w:t>ț</w:t>
      </w:r>
      <w:r w:rsidR="00A92D31">
        <w:t>ie a re</w:t>
      </w:r>
      <w:r w:rsidR="00782F78">
        <w:t>ț</w:t>
      </w:r>
      <w:r w:rsidR="00A92D31">
        <w:t>elelor electrice de distribu</w:t>
      </w:r>
      <w:r w:rsidR="00782F78">
        <w:t>ț</w:t>
      </w:r>
      <w:r w:rsidR="00A92D31">
        <w:t xml:space="preserve">ie, a altui utilaj, echipamentului </w:t>
      </w:r>
      <w:r w:rsidR="00782F78">
        <w:t>ș</w:t>
      </w:r>
      <w:r w:rsidR="00A92D31">
        <w:t>i altor mijloace fixe utilizate în procesul tehnologic de distribu</w:t>
      </w:r>
      <w:r w:rsidR="00782F78">
        <w:t>ț</w:t>
      </w:r>
      <w:r w:rsidR="00A92D31">
        <w:t>ie a energiei electrice. Aceste costuri sunt compuse din: costurile cu personalul încadrat în procesul de între</w:t>
      </w:r>
      <w:r w:rsidR="00782F78">
        <w:t>ț</w:t>
      </w:r>
      <w:r w:rsidR="00A92D31">
        <w:t xml:space="preserve">inere </w:t>
      </w:r>
      <w:r w:rsidR="00782F78">
        <w:t>ș</w:t>
      </w:r>
      <w:r w:rsidR="00A92D31">
        <w:t xml:space="preserve">i de exploatare a mijloacelor fixe </w:t>
      </w:r>
      <w:r w:rsidR="00782F78">
        <w:t>ș</w:t>
      </w:r>
      <w:r w:rsidR="00A92D31">
        <w:t>i a imobilizărilor necorporale, aferente procesului de distribu</w:t>
      </w:r>
      <w:r w:rsidR="00782F78">
        <w:t>ț</w:t>
      </w:r>
      <w:r w:rsidR="00A92D31">
        <w:t>ie a energiei electrice; costurile materiale necesare pentru între</w:t>
      </w:r>
      <w:r w:rsidR="00782F78">
        <w:t>ț</w:t>
      </w:r>
      <w:r w:rsidR="00A92D31">
        <w:t xml:space="preserve">inerea </w:t>
      </w:r>
      <w:r w:rsidR="00782F78">
        <w:t>ș</w:t>
      </w:r>
      <w:r w:rsidR="00A92D31">
        <w:t>i exploatarea mijloacelor fixe de distribu</w:t>
      </w:r>
      <w:r w:rsidR="00782F78">
        <w:t>ț</w:t>
      </w:r>
      <w:r w:rsidR="00A92D31">
        <w:t>ie; costurile nemijlocit aferente între</w:t>
      </w:r>
      <w:r w:rsidR="00782F78">
        <w:t>ț</w:t>
      </w:r>
      <w:r w:rsidR="00A92D31">
        <w:t xml:space="preserve">inerii </w:t>
      </w:r>
      <w:r w:rsidR="00782F78">
        <w:t>ș</w:t>
      </w:r>
      <w:r w:rsidR="00A92D31">
        <w:t xml:space="preserve">i exploatării utilajului </w:t>
      </w:r>
      <w:r w:rsidR="00782F78">
        <w:t>ș</w:t>
      </w:r>
      <w:r w:rsidR="00A92D31">
        <w:t>i a instala</w:t>
      </w:r>
      <w:r w:rsidR="00782F78">
        <w:t>ț</w:t>
      </w:r>
      <w:r w:rsidR="00A92D31">
        <w:t>iilor de distribu</w:t>
      </w:r>
      <w:r w:rsidR="00782F78">
        <w:t>ț</w:t>
      </w:r>
      <w:r w:rsidR="00A92D31">
        <w:t xml:space="preserve">ie a energiei electrice. Aceste </w:t>
      </w:r>
      <w:r w:rsidR="00B87CEC">
        <w:t>costuri</w:t>
      </w:r>
      <w:r w:rsidR="00A92D31">
        <w:t xml:space="preserve"> se determină potrivit formulei:</w:t>
      </w:r>
    </w:p>
    <w:p w:rsidR="001C5006" w:rsidRDefault="00A92D31">
      <w:pPr>
        <w:pStyle w:val="NormalWeb"/>
      </w:pPr>
      <w:r>
        <w:t> </w:t>
      </w:r>
    </w:p>
    <w:p w:rsidR="001C5006" w:rsidRDefault="00A92D31">
      <w:pPr>
        <w:pStyle w:val="cn"/>
      </w:pPr>
      <w:r>
        <w:rPr>
          <w:i/>
          <w:iCs/>
        </w:rPr>
        <w:t>CID = CRD + CMD + CIED</w:t>
      </w:r>
      <w:r>
        <w:t xml:space="preserve"> (2</w:t>
      </w:r>
      <w:r w:rsidR="00466B2F">
        <w:t>9</w:t>
      </w:r>
      <w:r>
        <w:t xml:space="preserve">) </w:t>
      </w:r>
    </w:p>
    <w:p w:rsidR="001C5006" w:rsidRDefault="00A92D31">
      <w:pPr>
        <w:pStyle w:val="NormalWeb"/>
      </w:pPr>
      <w:r>
        <w:t> </w:t>
      </w:r>
    </w:p>
    <w:p w:rsidR="001C5006" w:rsidRDefault="00A92D31">
      <w:pPr>
        <w:pStyle w:val="NormalWeb"/>
      </w:pPr>
      <w:r>
        <w:t xml:space="preserve">unde: </w:t>
      </w:r>
    </w:p>
    <w:p w:rsidR="001C5006" w:rsidRDefault="00A92D31">
      <w:pPr>
        <w:pStyle w:val="NormalWeb"/>
      </w:pPr>
      <w:r>
        <w:rPr>
          <w:i/>
          <w:iCs/>
        </w:rPr>
        <w:t>CRD</w:t>
      </w:r>
      <w:r>
        <w:t>– costurile cu personalul încadrat în procesul de distribu</w:t>
      </w:r>
      <w:r w:rsidR="00782F78">
        <w:t>ț</w:t>
      </w:r>
      <w:r>
        <w:t>ie a energiei electrice, de deservire, de între</w:t>
      </w:r>
      <w:r w:rsidR="00782F78">
        <w:t>ț</w:t>
      </w:r>
      <w:r>
        <w:t xml:space="preserve">inere </w:t>
      </w:r>
      <w:r w:rsidR="00782F78">
        <w:t>ș</w:t>
      </w:r>
      <w:r>
        <w:t xml:space="preserve">i de </w:t>
      </w:r>
      <w:r w:rsidRPr="005C7FB7">
        <w:t>exploatare a re</w:t>
      </w:r>
      <w:r w:rsidR="00782F78" w:rsidRPr="005C7FB7">
        <w:t>ț</w:t>
      </w:r>
      <w:r w:rsidRPr="005C7FB7">
        <w:t>elelor electrice de distribu</w:t>
      </w:r>
      <w:r w:rsidR="00782F78" w:rsidRPr="005C7FB7">
        <w:t>ț</w:t>
      </w:r>
      <w:r w:rsidRPr="005C7FB7">
        <w:t xml:space="preserve">ie </w:t>
      </w:r>
      <w:r w:rsidR="00782F78" w:rsidRPr="005C7FB7">
        <w:t>ș</w:t>
      </w:r>
      <w:r w:rsidRPr="005C7FB7">
        <w:t>i a unită</w:t>
      </w:r>
      <w:r w:rsidR="00782F78" w:rsidRPr="005C7FB7">
        <w:t>ț</w:t>
      </w:r>
      <w:r w:rsidRPr="005C7FB7">
        <w:t>ilor auxiliare. În aceste costuri se includ atât sumele retribu</w:t>
      </w:r>
      <w:r w:rsidR="00782F78" w:rsidRPr="005C7FB7">
        <w:t>ț</w:t>
      </w:r>
      <w:r w:rsidRPr="005C7FB7">
        <w:t xml:space="preserve">iilor pentru munca efectiv prestată , precum </w:t>
      </w:r>
      <w:r w:rsidR="00782F78" w:rsidRPr="005C7FB7">
        <w:t>ș</w:t>
      </w:r>
      <w:r w:rsidRPr="005C7FB7">
        <w:t>i sumele contribu</w:t>
      </w:r>
      <w:r w:rsidR="00782F78" w:rsidRPr="005C7FB7">
        <w:t>ț</w:t>
      </w:r>
      <w:r w:rsidRPr="005C7FB7">
        <w:t xml:space="preserve">iilor de asigurări sociale de stat obligatorii </w:t>
      </w:r>
      <w:r w:rsidR="00782F78" w:rsidRPr="005C7FB7">
        <w:t>ș</w:t>
      </w:r>
      <w:r w:rsidRPr="005C7FB7">
        <w:t>i primelor de asigurare obligatorie de asisten</w:t>
      </w:r>
      <w:r w:rsidR="00782F78" w:rsidRPr="005C7FB7">
        <w:t>ț</w:t>
      </w:r>
      <w:r w:rsidRPr="005C7FB7">
        <w:t xml:space="preserve">ă medicală Costurile cu personalul se determină de către OSD pentru primul an de </w:t>
      </w:r>
      <w:r w:rsidR="002D213A">
        <w:t>aplicare</w:t>
      </w:r>
      <w:r w:rsidRPr="005C7FB7">
        <w:t>a Metodologiei – anul de bază (CRD</w:t>
      </w:r>
      <w:r w:rsidRPr="005C7FB7">
        <w:rPr>
          <w:vertAlign w:val="subscript"/>
        </w:rPr>
        <w:t>o</w:t>
      </w:r>
      <w:r w:rsidRPr="005C7FB7">
        <w:t>), reie</w:t>
      </w:r>
      <w:r w:rsidR="00782F78" w:rsidRPr="005C7FB7">
        <w:t>ș</w:t>
      </w:r>
      <w:r w:rsidRPr="005C7FB7">
        <w:t>ind din: numărul necesar de angaja</w:t>
      </w:r>
      <w:r w:rsidR="00782F78" w:rsidRPr="005C7FB7">
        <w:t>ț</w:t>
      </w:r>
      <w:r w:rsidRPr="005C7FB7">
        <w:t>i pentru deservirea, pentru între</w:t>
      </w:r>
      <w:r w:rsidR="00782F78" w:rsidRPr="005C7FB7">
        <w:t>ț</w:t>
      </w:r>
      <w:r w:rsidRPr="005C7FB7">
        <w:t>inerea în stare normală</w:t>
      </w:r>
      <w:r>
        <w:t xml:space="preserve"> de lucru </w:t>
      </w:r>
      <w:r w:rsidR="00782F78">
        <w:t>ș</w:t>
      </w:r>
      <w:r>
        <w:t>i pentru exploatarea re</w:t>
      </w:r>
      <w:r w:rsidR="00782F78">
        <w:t>ț</w:t>
      </w:r>
      <w:r>
        <w:t>elelor electrice de distribu</w:t>
      </w:r>
      <w:r w:rsidR="00782F78">
        <w:t>ț</w:t>
      </w:r>
      <w:r>
        <w:t>ie, a sta</w:t>
      </w:r>
      <w:r w:rsidR="00782F78">
        <w:t>ț</w:t>
      </w:r>
      <w:r>
        <w:t xml:space="preserve">iilor de transformare (transformatoare), a altui utilaj </w:t>
      </w:r>
      <w:r w:rsidR="00782F78">
        <w:t>ș</w:t>
      </w:r>
      <w:r>
        <w:t>i echipament aferent re</w:t>
      </w:r>
      <w:r w:rsidR="00782F78">
        <w:t>ț</w:t>
      </w:r>
      <w:r>
        <w:t>elelor electrice de distribu</w:t>
      </w:r>
      <w:r w:rsidR="00782F78">
        <w:t>ț</w:t>
      </w:r>
      <w:r>
        <w:t xml:space="preserve">ie </w:t>
      </w:r>
      <w:r w:rsidR="00782F78">
        <w:t>ș</w:t>
      </w:r>
      <w:r>
        <w:t>i unită</w:t>
      </w:r>
      <w:r w:rsidR="00782F78">
        <w:t>ț</w:t>
      </w:r>
      <w:r>
        <w:t>ilor auxiliare aferente distribu</w:t>
      </w:r>
      <w:r w:rsidR="00782F78">
        <w:t>ț</w:t>
      </w:r>
      <w:r>
        <w:t>iei; categoria de calificare a acestora; cuantumul minim garantat al salariului în sectorul real; coeficientul complexită</w:t>
      </w:r>
      <w:r w:rsidR="00782F78">
        <w:t>ț</w:t>
      </w:r>
      <w:r>
        <w:t xml:space="preserve">ii din ramură; regimul </w:t>
      </w:r>
      <w:r w:rsidR="00782F78">
        <w:t>ș</w:t>
      </w:r>
      <w:r>
        <w:t>i condi</w:t>
      </w:r>
      <w:r w:rsidR="00782F78">
        <w:t>ț</w:t>
      </w:r>
      <w:r>
        <w:t>iile de lucru; alte plă</w:t>
      </w:r>
      <w:r w:rsidR="00782F78">
        <w:t>ț</w:t>
      </w:r>
      <w:r>
        <w:t xml:space="preserve">i </w:t>
      </w:r>
      <w:r w:rsidR="00782F78">
        <w:t>ș</w:t>
      </w:r>
      <w:r>
        <w:t>i sporuri stabilite de legisla</w:t>
      </w:r>
      <w:r w:rsidR="00782F78">
        <w:t>ț</w:t>
      </w:r>
      <w:r>
        <w:t>ie; contribu</w:t>
      </w:r>
      <w:r w:rsidR="00782F78">
        <w:t>ț</w:t>
      </w:r>
      <w:r>
        <w:t xml:space="preserve">iile de asigurări sociale de stat obligatorii </w:t>
      </w:r>
      <w:r w:rsidR="00782F78">
        <w:t>ș</w:t>
      </w:r>
      <w:r>
        <w:t>i prima de asigurare obligatorie de asisten</w:t>
      </w:r>
      <w:r w:rsidR="00782F78">
        <w:t>ț</w:t>
      </w:r>
      <w:r>
        <w:t xml:space="preserve">ă medicală. Aceste costuri se determină de OSD, se examinează </w:t>
      </w:r>
      <w:r w:rsidR="00782F78">
        <w:t>ș</w:t>
      </w:r>
      <w:r>
        <w:t xml:space="preserve">i se aprobă de către </w:t>
      </w:r>
      <w:r w:rsidR="00EB553F">
        <w:t>Agenție</w:t>
      </w:r>
      <w:r>
        <w:t xml:space="preserve"> ca fiind costuri de bază pentru toată perioada de </w:t>
      </w:r>
      <w:r w:rsidR="002D213A">
        <w:t xml:space="preserve">aplicare </w:t>
      </w:r>
      <w:r>
        <w:t>a Metodologiei. Pentru fiecare an ulterior anului “n” aceste costuri se actualizează reie</w:t>
      </w:r>
      <w:r w:rsidR="00782F78">
        <w:t>ș</w:t>
      </w:r>
      <w:r>
        <w:t>ind din indic</w:t>
      </w:r>
      <w:r w:rsidR="00C139DA">
        <w:t>ii</w:t>
      </w:r>
      <w:r>
        <w:t xml:space="preserve"> pre</w:t>
      </w:r>
      <w:r w:rsidR="00782F78">
        <w:t>ț</w:t>
      </w:r>
      <w:r>
        <w:t>u</w:t>
      </w:r>
      <w:r w:rsidR="00C139DA">
        <w:t>rilor</w:t>
      </w:r>
      <w:r>
        <w:t xml:space="preserve"> de consum din Republica Moldova</w:t>
      </w:r>
      <w:r w:rsidR="00782F78">
        <w:t>ș</w:t>
      </w:r>
      <w:r>
        <w:t>i din indicele care va lua în considera</w:t>
      </w:r>
      <w:r w:rsidR="00782F78">
        <w:t>ț</w:t>
      </w:r>
      <w:r>
        <w:t>ie ridicarea eficien</w:t>
      </w:r>
      <w:r w:rsidR="00782F78">
        <w:t>ț</w:t>
      </w:r>
      <w:r>
        <w:t>ei activită</w:t>
      </w:r>
      <w:r w:rsidR="00782F78">
        <w:t>ț</w:t>
      </w:r>
      <w:r>
        <w:t>ii OSD, conform formulei:</w:t>
      </w:r>
    </w:p>
    <w:p w:rsidR="001C5006" w:rsidRDefault="00A92D31">
      <w:pPr>
        <w:pStyle w:val="NormalWeb"/>
      </w:pPr>
      <w:r>
        <w:t> </w:t>
      </w:r>
    </w:p>
    <w:p w:rsidR="001C5006" w:rsidRDefault="00A92D31">
      <w:pPr>
        <w:pStyle w:val="cn"/>
      </w:pPr>
      <w:r>
        <w:rPr>
          <w:i/>
          <w:iCs/>
        </w:rPr>
        <w:t>CRD</w:t>
      </w:r>
      <w:r>
        <w:rPr>
          <w:i/>
          <w:iCs/>
          <w:vertAlign w:val="subscript"/>
        </w:rPr>
        <w:t>n</w:t>
      </w:r>
      <w:r>
        <w:rPr>
          <w:i/>
          <w:iCs/>
        </w:rPr>
        <w:t xml:space="preserve"> = CRD</w:t>
      </w:r>
      <w:r>
        <w:rPr>
          <w:i/>
          <w:iCs/>
          <w:vertAlign w:val="subscript"/>
        </w:rPr>
        <w:t>0</w:t>
      </w:r>
      <w:r>
        <w:rPr>
          <w:i/>
          <w:iCs/>
        </w:rPr>
        <w:t xml:space="preserve"> × ∏(1 + IPCM</w:t>
      </w:r>
      <w:r>
        <w:rPr>
          <w:i/>
          <w:iCs/>
          <w:vertAlign w:val="subscript"/>
        </w:rPr>
        <w:t>n</w:t>
      </w:r>
      <w:r>
        <w:rPr>
          <w:i/>
          <w:iCs/>
        </w:rPr>
        <w:t xml:space="preserve"> – X</w:t>
      </w:r>
      <w:r>
        <w:rPr>
          <w:i/>
          <w:iCs/>
          <w:vertAlign w:val="subscript"/>
        </w:rPr>
        <w:t>1</w:t>
      </w:r>
      <w:r>
        <w:rPr>
          <w:i/>
          <w:iCs/>
        </w:rPr>
        <w:t>)</w:t>
      </w:r>
      <w:r>
        <w:t>(</w:t>
      </w:r>
      <w:r w:rsidR="00466B2F">
        <w:t>30</w:t>
      </w:r>
      <w:r>
        <w:t>)</w:t>
      </w:r>
    </w:p>
    <w:p w:rsidR="001C5006" w:rsidRDefault="00A92D31">
      <w:pPr>
        <w:pStyle w:val="NormalWeb"/>
      </w:pPr>
      <w:r>
        <w:t> </w:t>
      </w:r>
    </w:p>
    <w:p w:rsidR="001C5006" w:rsidRDefault="00A92D31">
      <w:pPr>
        <w:pStyle w:val="NormalWeb"/>
      </w:pPr>
      <w:r>
        <w:t>unde:</w:t>
      </w:r>
    </w:p>
    <w:p w:rsidR="001C5006" w:rsidRDefault="00A92D31">
      <w:pPr>
        <w:pStyle w:val="NormalWeb"/>
      </w:pPr>
      <w:r>
        <w:rPr>
          <w:i/>
          <w:iCs/>
        </w:rPr>
        <w:t>IPCM</w:t>
      </w:r>
      <w:r>
        <w:rPr>
          <w:i/>
          <w:iCs/>
          <w:vertAlign w:val="subscript"/>
        </w:rPr>
        <w:t>n</w:t>
      </w:r>
      <w:r>
        <w:t xml:space="preserve"> – indicele pre</w:t>
      </w:r>
      <w:r w:rsidR="00782F78">
        <w:t>ț</w:t>
      </w:r>
      <w:r>
        <w:t>u</w:t>
      </w:r>
      <w:r w:rsidR="00E8714B">
        <w:t>rilor</w:t>
      </w:r>
      <w:r>
        <w:t xml:space="preserve"> de consum în Republica Moldova în anul “n”, publicat de Biroul Na</w:t>
      </w:r>
      <w:r w:rsidR="00782F78">
        <w:t>ț</w:t>
      </w:r>
      <w:r>
        <w:t>ional de Statistică al Republicii Moldova;</w:t>
      </w:r>
    </w:p>
    <w:p w:rsidR="001C5006" w:rsidRDefault="00A92D31" w:rsidP="002131EF">
      <w:pPr>
        <w:pStyle w:val="NormalWeb"/>
        <w:spacing w:after="120"/>
      </w:pPr>
      <w:r>
        <w:rPr>
          <w:i/>
          <w:iCs/>
        </w:rPr>
        <w:t>X</w:t>
      </w:r>
      <w:r>
        <w:rPr>
          <w:i/>
          <w:iCs/>
          <w:vertAlign w:val="subscript"/>
        </w:rPr>
        <w:t>1</w:t>
      </w:r>
      <w:r>
        <w:t>– indicele de cre</w:t>
      </w:r>
      <w:r w:rsidR="00782F78">
        <w:t>ș</w:t>
      </w:r>
      <w:r>
        <w:t>tere a eficien</w:t>
      </w:r>
      <w:r w:rsidR="00782F78">
        <w:t>ț</w:t>
      </w:r>
      <w:r>
        <w:t>ei OSD pentru reducerea costurilor de distribu</w:t>
      </w:r>
      <w:r w:rsidR="00782F78">
        <w:t>ț</w:t>
      </w:r>
      <w:r>
        <w:t xml:space="preserve">ie. Acest indice este stabilit constant pentru toată perioadă de </w:t>
      </w:r>
      <w:r w:rsidR="002D213A">
        <w:t xml:space="preserve">aplicare </w:t>
      </w:r>
      <w:r>
        <w:t>a Metodologiei în propor</w:t>
      </w:r>
      <w:r w:rsidR="00782F78">
        <w:t>ț</w:t>
      </w:r>
      <w:r>
        <w:t>ie de 20% din indicele pre</w:t>
      </w:r>
      <w:r w:rsidR="00782F78">
        <w:t>ț</w:t>
      </w:r>
      <w:r>
        <w:t>ului de consum din Republica Moldova, X</w:t>
      </w:r>
      <w:r>
        <w:rPr>
          <w:vertAlign w:val="subscript"/>
        </w:rPr>
        <w:t>1</w:t>
      </w:r>
      <w:r>
        <w:t>= 0,2</w:t>
      </w:r>
      <w:r w:rsidR="002131EF">
        <w:t>×</w:t>
      </w:r>
      <w:r>
        <w:t>IPCM</w:t>
      </w:r>
      <w:r>
        <w:rPr>
          <w:vertAlign w:val="subscript"/>
        </w:rPr>
        <w:t>n</w:t>
      </w:r>
      <w:r w:rsidR="002131EF">
        <w:t>.</w:t>
      </w:r>
    </w:p>
    <w:p w:rsidR="001C5006" w:rsidRDefault="00A92D31">
      <w:pPr>
        <w:pStyle w:val="NormalWeb"/>
      </w:pPr>
      <w:r>
        <w:rPr>
          <w:i/>
          <w:iCs/>
        </w:rPr>
        <w:t>CMD</w:t>
      </w:r>
      <w:r>
        <w:t xml:space="preserve"> – costurile materiale necesare pentru deservirea, pentru între</w:t>
      </w:r>
      <w:r w:rsidR="00782F78">
        <w:t>ț</w:t>
      </w:r>
      <w:r>
        <w:t xml:space="preserve">inerea </w:t>
      </w:r>
      <w:r w:rsidR="00782F78">
        <w:t>ș</w:t>
      </w:r>
      <w:r>
        <w:t>i pentru exploatarea re</w:t>
      </w:r>
      <w:r w:rsidR="00782F78">
        <w:t>ț</w:t>
      </w:r>
      <w:r>
        <w:t>elelor electrice de distribu</w:t>
      </w:r>
      <w:r w:rsidR="00782F78">
        <w:t>ț</w:t>
      </w:r>
      <w:r>
        <w:t xml:space="preserve">ie </w:t>
      </w:r>
      <w:r w:rsidR="00782F78">
        <w:t>ș</w:t>
      </w:r>
      <w:r>
        <w:t>i a unită</w:t>
      </w:r>
      <w:r w:rsidR="00782F78">
        <w:t>ț</w:t>
      </w:r>
      <w:r>
        <w:t xml:space="preserve">ilor auxiliare. Aceste costuri se calculează pentru primul an de </w:t>
      </w:r>
      <w:r w:rsidR="002D213A">
        <w:t xml:space="preserve">aplicare </w:t>
      </w:r>
      <w:r>
        <w:t>a Metodologiei – anul de bază (CMD</w:t>
      </w:r>
      <w:r>
        <w:rPr>
          <w:vertAlign w:val="subscript"/>
        </w:rPr>
        <w:t>o</w:t>
      </w:r>
      <w:r>
        <w:t>), reie</w:t>
      </w:r>
      <w:r w:rsidR="00782F78">
        <w:t>ș</w:t>
      </w:r>
      <w:r>
        <w:t xml:space="preserve">ind din cantitatea fiecărui tip de material necesar, determinată în baza normelor de utilizare </w:t>
      </w:r>
      <w:r w:rsidR="00782F78">
        <w:t>ș</w:t>
      </w:r>
      <w:r>
        <w:t xml:space="preserve">i a analizei materialelor utilizate </w:t>
      </w:r>
      <w:r>
        <w:lastRenderedPageBreak/>
        <w:t>de OSD în perioada precedentă de reglementare, pentru între</w:t>
      </w:r>
      <w:r w:rsidR="00782F78">
        <w:t>ț</w:t>
      </w:r>
      <w:r>
        <w:t xml:space="preserve">inerea </w:t>
      </w:r>
      <w:r w:rsidR="00782F78">
        <w:t>ș</w:t>
      </w:r>
      <w:r>
        <w:t>i pentru exploatarea re</w:t>
      </w:r>
      <w:r w:rsidR="00782F78">
        <w:t>ț</w:t>
      </w:r>
      <w:r>
        <w:t>elelor electrice de distribu</w:t>
      </w:r>
      <w:r w:rsidR="00782F78">
        <w:t>ț</w:t>
      </w:r>
      <w:r>
        <w:t xml:space="preserve">ie, a altor mijloace fixe </w:t>
      </w:r>
      <w:r w:rsidR="00782F78">
        <w:t>ș</w:t>
      </w:r>
      <w:r>
        <w:t>i imobilizări necorporale, în conformitate cu cerin</w:t>
      </w:r>
      <w:r w:rsidR="00782F78">
        <w:t>ț</w:t>
      </w:r>
      <w:r>
        <w:t xml:space="preserve">ele tehnice de exploatare </w:t>
      </w:r>
      <w:r w:rsidR="00782F78">
        <w:t>ș</w:t>
      </w:r>
      <w:r>
        <w:t>i cu planurile de deservire, de repara</w:t>
      </w:r>
      <w:r w:rsidR="00782F78">
        <w:t>ț</w:t>
      </w:r>
      <w:r>
        <w:t>ie, de între</w:t>
      </w:r>
      <w:r w:rsidR="00782F78">
        <w:t>ț</w:t>
      </w:r>
      <w:r>
        <w:t xml:space="preserve">inere </w:t>
      </w:r>
      <w:r w:rsidR="00782F78">
        <w:t>ș</w:t>
      </w:r>
      <w:r>
        <w:t xml:space="preserve">i de exploatare a acestora </w:t>
      </w:r>
      <w:r w:rsidR="00782F78">
        <w:t>ș</w:t>
      </w:r>
      <w:r>
        <w:t>i reie</w:t>
      </w:r>
      <w:r w:rsidR="00782F78">
        <w:t>ș</w:t>
      </w:r>
      <w:r>
        <w:t>ind din pre</w:t>
      </w:r>
      <w:r w:rsidR="00782F78">
        <w:t>ț</w:t>
      </w:r>
      <w:r>
        <w:t>urile minime de pe pia</w:t>
      </w:r>
      <w:r w:rsidR="00782F78">
        <w:t>ț</w:t>
      </w:r>
      <w:r>
        <w:t>ă, ca rezultat al achizi</w:t>
      </w:r>
      <w:r w:rsidR="00782F78">
        <w:t>ț</w:t>
      </w:r>
      <w:r>
        <w:t xml:space="preserve">iilor efectuate în conformitate cu regulamentul aprobat de </w:t>
      </w:r>
      <w:r w:rsidR="00EB553F">
        <w:t>Agenție</w:t>
      </w:r>
      <w:r>
        <w:t xml:space="preserve">. Analogic costurilor cu personalul, aceste costuri se determină de OSD, se examinează </w:t>
      </w:r>
      <w:r w:rsidR="00782F78">
        <w:t>ș</w:t>
      </w:r>
      <w:r>
        <w:t xml:space="preserve">i se aprobă de către </w:t>
      </w:r>
      <w:r w:rsidR="00EB553F">
        <w:t>Agenție</w:t>
      </w:r>
      <w:r>
        <w:t xml:space="preserve"> ca fiind costuri de bază pentru toată perioada de </w:t>
      </w:r>
      <w:r w:rsidR="002D213A">
        <w:t xml:space="preserve">aplicare </w:t>
      </w:r>
      <w:r>
        <w:t>a Metodologiei. Pentru fiecare an “n”, aceste costuri se actualizează în conformitate cu următoarea formulă:</w:t>
      </w:r>
    </w:p>
    <w:p w:rsidR="00CB25EB" w:rsidRDefault="00A726DA">
      <w:pPr>
        <w:pStyle w:val="cn"/>
      </w:pPr>
      <m:oMathPara>
        <m:oMath>
          <m:sSub>
            <m:sSubPr>
              <m:ctrlPr>
                <w:rPr>
                  <w:rFonts w:ascii="Cambria Math" w:hAnsi="Cambria Math"/>
                  <w:i/>
                </w:rPr>
              </m:ctrlPr>
            </m:sSubPr>
            <m:e>
              <m:r>
                <w:rPr>
                  <w:rFonts w:ascii="Cambria Math" w:hAnsi="Cambria Math"/>
                </w:rPr>
                <m:t>CMD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CMD</m:t>
              </m:r>
            </m:e>
            <m:sub>
              <m:r>
                <w:rPr>
                  <w:rFonts w:ascii="Cambria Math" w:hAnsi="Cambria Math"/>
                </w:rPr>
                <m:t>0</m:t>
              </m:r>
            </m:sub>
          </m:sSub>
          <m:r>
            <w:rPr>
              <w:rFonts w:ascii="Cambria Math" w:hAnsi="Cambria Math"/>
            </w:rPr>
            <m:t>×</m:t>
          </m:r>
          <m:nary>
            <m:naryPr>
              <m:chr m:val="∏"/>
              <m:limLoc m:val="undOvr"/>
              <m:subHide m:val="on"/>
              <m:supHide m:val="on"/>
              <m:ctrlPr>
                <w:rPr>
                  <w:rFonts w:ascii="Cambria Math" w:hAnsi="Cambria Math"/>
                  <w:i/>
                </w:rPr>
              </m:ctrlPr>
            </m:naryPr>
            <m:sub/>
            <m:sup/>
            <m:e>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HICP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NC</m:t>
                          </m:r>
                        </m:e>
                        <m:sub>
                          <m:r>
                            <w:rPr>
                              <w:rFonts w:ascii="Cambria Math" w:hAnsi="Cambria Math"/>
                            </w:rPr>
                            <m:t>n</m:t>
                          </m:r>
                        </m:sub>
                      </m:sSub>
                    </m:e>
                  </m:d>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LeiD</m:t>
                          </m:r>
                        </m:e>
                        <m:sub>
                          <m:r>
                            <w:rPr>
                              <w:rFonts w:ascii="Cambria Math" w:hAnsi="Cambria Math"/>
                            </w:rPr>
                            <m:t>n</m:t>
                          </m:r>
                        </m:sub>
                      </m:sSub>
                    </m:num>
                    <m:den>
                      <m:sSub>
                        <m:sSubPr>
                          <m:ctrlPr>
                            <w:rPr>
                              <w:rFonts w:ascii="Cambria Math" w:hAnsi="Cambria Math"/>
                              <w:i/>
                            </w:rPr>
                          </m:ctrlPr>
                        </m:sSubPr>
                        <m:e>
                          <m:r>
                            <w:rPr>
                              <w:rFonts w:ascii="Cambria Math" w:hAnsi="Cambria Math"/>
                            </w:rPr>
                            <m:t>LeiD</m:t>
                          </m:r>
                        </m:e>
                        <m:sub>
                          <m:r>
                            <w:rPr>
                              <w:rFonts w:ascii="Cambria Math" w:hAnsi="Cambria Math"/>
                            </w:rPr>
                            <m:t>n-1</m:t>
                          </m:r>
                        </m:sub>
                      </m:sSub>
                    </m:den>
                  </m:f>
                </m:e>
              </m:d>
            </m:e>
          </m:nary>
          <m:r>
            <w:rPr>
              <w:rFonts w:ascii="Cambria Math" w:hAnsi="Cambria Math"/>
            </w:rPr>
            <m:t xml:space="preserve">  (31)</m:t>
          </m:r>
        </m:oMath>
      </m:oMathPara>
    </w:p>
    <w:p w:rsidR="001C5006" w:rsidRDefault="00A92D31">
      <w:pPr>
        <w:pStyle w:val="NormalWeb"/>
      </w:pPr>
      <w:r>
        <w:t> </w:t>
      </w:r>
    </w:p>
    <w:p w:rsidR="001C5006" w:rsidRDefault="00A92D31">
      <w:pPr>
        <w:pStyle w:val="NormalWeb"/>
      </w:pPr>
      <w:r>
        <w:t xml:space="preserve">unde: </w:t>
      </w:r>
    </w:p>
    <w:p w:rsidR="001C5006" w:rsidRDefault="00A92D31">
      <w:pPr>
        <w:pStyle w:val="NormalWeb"/>
      </w:pPr>
      <w:r>
        <w:rPr>
          <w:i/>
          <w:iCs/>
        </w:rPr>
        <w:t>HICP</w:t>
      </w:r>
      <w:r>
        <w:rPr>
          <w:i/>
          <w:iCs/>
          <w:vertAlign w:val="subscript"/>
        </w:rPr>
        <w:t xml:space="preserve">n </w:t>
      </w:r>
      <w:r>
        <w:t xml:space="preserve">– indicele </w:t>
      </w:r>
      <w:r w:rsidR="006E67B8">
        <w:t>prețurilor de consum</w:t>
      </w:r>
      <w:r>
        <w:t xml:space="preserve"> al SUA în anul “n”, publicat de către Departamentul Muncii al SUA;</w:t>
      </w:r>
    </w:p>
    <w:p w:rsidR="001C5006" w:rsidRDefault="00A92D31">
      <w:pPr>
        <w:pStyle w:val="NormalWeb"/>
      </w:pPr>
      <w:r>
        <w:rPr>
          <w:i/>
          <w:iCs/>
        </w:rPr>
        <w:t>X</w:t>
      </w:r>
      <w:r>
        <w:rPr>
          <w:i/>
          <w:iCs/>
          <w:vertAlign w:val="subscript"/>
        </w:rPr>
        <w:t>2</w:t>
      </w:r>
      <w:r>
        <w:t>– indicele de cre</w:t>
      </w:r>
      <w:r w:rsidR="00782F78">
        <w:t>ș</w:t>
      </w:r>
      <w:r>
        <w:t>tere a eficien</w:t>
      </w:r>
      <w:r w:rsidR="00782F78">
        <w:t>ț</w:t>
      </w:r>
      <w:r>
        <w:t>ei OSD pentru reducerea costurilor de distribu</w:t>
      </w:r>
      <w:r w:rsidR="00782F78">
        <w:t>ț</w:t>
      </w:r>
      <w:r>
        <w:t xml:space="preserve">ie. Acest indice este stabilit constant pentru toată perioadă de </w:t>
      </w:r>
      <w:r w:rsidR="002D213A">
        <w:t xml:space="preserve">aplicare </w:t>
      </w:r>
      <w:r>
        <w:t>a Metodologiei în propor</w:t>
      </w:r>
      <w:r w:rsidR="00782F78">
        <w:t>ț</w:t>
      </w:r>
      <w:r>
        <w:t>ie de 20% din indicele pre</w:t>
      </w:r>
      <w:r w:rsidR="00782F78">
        <w:t>ț</w:t>
      </w:r>
      <w:r>
        <w:t>u</w:t>
      </w:r>
      <w:r w:rsidR="006E67B8">
        <w:t>rilor</w:t>
      </w:r>
      <w:r>
        <w:t xml:space="preserve"> de consum al SUA, X</w:t>
      </w:r>
      <w:r>
        <w:rPr>
          <w:vertAlign w:val="subscript"/>
        </w:rPr>
        <w:t xml:space="preserve">2 </w:t>
      </w:r>
      <w:r>
        <w:t>= 0,2</w:t>
      </w:r>
      <w:r w:rsidR="002131EF">
        <w:t>×</w:t>
      </w:r>
      <w:r>
        <w:t>HIPC</w:t>
      </w:r>
      <w:r>
        <w:rPr>
          <w:vertAlign w:val="subscript"/>
        </w:rPr>
        <w:t>n</w:t>
      </w:r>
      <w:r>
        <w:t>;</w:t>
      </w:r>
    </w:p>
    <w:p w:rsidR="001C5006" w:rsidRDefault="00A92D31">
      <w:pPr>
        <w:pStyle w:val="NormalWeb"/>
      </w:pPr>
      <w:r>
        <w:rPr>
          <w:i/>
          <w:iCs/>
        </w:rPr>
        <w:t>ΔNC</w:t>
      </w:r>
      <w:r>
        <w:rPr>
          <w:i/>
          <w:iCs/>
          <w:vertAlign w:val="subscript"/>
        </w:rPr>
        <w:t>n</w:t>
      </w:r>
      <w:r>
        <w:t xml:space="preserve"> – modificarea numărului locurilor de consum ale consumatorilor finali ale căror instala</w:t>
      </w:r>
      <w:r w:rsidR="00782F78">
        <w:t>ț</w:t>
      </w:r>
      <w:r>
        <w:t>ii electrice sunt racordate la re</w:t>
      </w:r>
      <w:r w:rsidR="00782F78">
        <w:t>ț</w:t>
      </w:r>
      <w:r>
        <w:t>elele electrice de distribu</w:t>
      </w:r>
      <w:r w:rsidR="00782F78">
        <w:t>ț</w:t>
      </w:r>
      <w:r>
        <w:t>ie, care se determină conform formulei:</w:t>
      </w:r>
    </w:p>
    <w:p w:rsidR="001C5006" w:rsidRDefault="00A92D31">
      <w:pPr>
        <w:pStyle w:val="NormalWeb"/>
      </w:pPr>
      <w:r>
        <w:t> </w:t>
      </w:r>
    </w:p>
    <w:p w:rsidR="00CB25EB" w:rsidRDefault="00CB25EB">
      <w:pPr>
        <w:pStyle w:val="cn"/>
      </w:pPr>
      <m:oMathPara>
        <m:oMath>
          <m:r>
            <w:rPr>
              <w:rFonts w:ascii="Cambria Math" w:hAnsi="Cambria Math"/>
            </w:rPr>
            <m:t>∆</m:t>
          </m:r>
          <m:sSub>
            <m:sSubPr>
              <m:ctrlPr>
                <w:rPr>
                  <w:rFonts w:ascii="Cambria Math" w:hAnsi="Cambria Math"/>
                  <w:i/>
                </w:rPr>
              </m:ctrlPr>
            </m:sSubPr>
            <m:e>
              <m:r>
                <w:rPr>
                  <w:rFonts w:ascii="Cambria Math" w:hAnsi="Cambria Math"/>
                </w:rPr>
                <m:t>NC</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NC</m:t>
                  </m:r>
                </m:e>
                <m:sub>
                  <m:r>
                    <w:rPr>
                      <w:rFonts w:ascii="Cambria Math" w:hAnsi="Cambria Math"/>
                    </w:rPr>
                    <m:t>n-1</m:t>
                  </m:r>
                </m:sub>
              </m:sSub>
            </m:num>
            <m:den>
              <m:sSub>
                <m:sSubPr>
                  <m:ctrlPr>
                    <w:rPr>
                      <w:rFonts w:ascii="Cambria Math" w:hAnsi="Cambria Math"/>
                      <w:i/>
                    </w:rPr>
                  </m:ctrlPr>
                </m:sSubPr>
                <m:e>
                  <m:r>
                    <w:rPr>
                      <w:rFonts w:ascii="Cambria Math" w:hAnsi="Cambria Math"/>
                    </w:rPr>
                    <m:t>NC</m:t>
                  </m:r>
                </m:e>
                <m:sub>
                  <m:r>
                    <w:rPr>
                      <w:rFonts w:ascii="Cambria Math" w:hAnsi="Cambria Math"/>
                    </w:rPr>
                    <m:t>n-1</m:t>
                  </m:r>
                </m:sub>
              </m:sSub>
            </m:den>
          </m:f>
          <m:r>
            <w:rPr>
              <w:rFonts w:ascii="Cambria Math" w:hAnsi="Cambria Math"/>
            </w:rPr>
            <m:t xml:space="preserve">   (32)</m:t>
          </m:r>
        </m:oMath>
      </m:oMathPara>
    </w:p>
    <w:p w:rsidR="001C5006" w:rsidRDefault="00A92D31">
      <w:pPr>
        <w:pStyle w:val="NormalWeb"/>
      </w:pPr>
      <w:r>
        <w:t>unde:</w:t>
      </w:r>
    </w:p>
    <w:p w:rsidR="001C5006" w:rsidRDefault="00A92D31">
      <w:pPr>
        <w:pStyle w:val="NormalWeb"/>
      </w:pPr>
      <w:r>
        <w:rPr>
          <w:i/>
          <w:iCs/>
        </w:rPr>
        <w:t>NC</w:t>
      </w:r>
      <w:r>
        <w:rPr>
          <w:i/>
          <w:iCs/>
          <w:vertAlign w:val="subscript"/>
        </w:rPr>
        <w:t>n</w:t>
      </w:r>
      <w:r>
        <w:t>– numărul locurilor de consum ale consumatorilor finali ale căror instala</w:t>
      </w:r>
      <w:r w:rsidR="00782F78">
        <w:t>ț</w:t>
      </w:r>
      <w:r>
        <w:t>ii electrice sunt racordate la re</w:t>
      </w:r>
      <w:r w:rsidR="00782F78">
        <w:t>ț</w:t>
      </w:r>
      <w:r>
        <w:t>elele electrice de distribu</w:t>
      </w:r>
      <w:r w:rsidR="00782F78">
        <w:t>ț</w:t>
      </w:r>
      <w:r>
        <w:t>ie la finele anului de reglementare “n”;</w:t>
      </w:r>
    </w:p>
    <w:p w:rsidR="001C5006" w:rsidRDefault="00A92D31">
      <w:pPr>
        <w:pStyle w:val="NormalWeb"/>
      </w:pPr>
      <w:r>
        <w:rPr>
          <w:i/>
          <w:iCs/>
        </w:rPr>
        <w:t>NC</w:t>
      </w:r>
      <w:r>
        <w:rPr>
          <w:i/>
          <w:iCs/>
          <w:vertAlign w:val="subscript"/>
        </w:rPr>
        <w:t>n-1</w:t>
      </w:r>
      <w:r>
        <w:t xml:space="preserve"> – numărul locurilor de consum ale consumatorilor finali instala</w:t>
      </w:r>
      <w:r w:rsidR="00782F78">
        <w:t>ț</w:t>
      </w:r>
      <w:r>
        <w:t>iile electrice ale cărora erau racordate la re</w:t>
      </w:r>
      <w:r w:rsidR="00782F78">
        <w:t>ț</w:t>
      </w:r>
      <w:r>
        <w:t>elele electrice de distribu</w:t>
      </w:r>
      <w:r w:rsidR="00782F78">
        <w:t>ț</w:t>
      </w:r>
      <w:r>
        <w:t>ie la finele anului “n-1”.</w:t>
      </w:r>
    </w:p>
    <w:p w:rsidR="001C5006" w:rsidRDefault="00A92D31">
      <w:pPr>
        <w:pStyle w:val="NormalWeb"/>
      </w:pPr>
      <w:r>
        <w:rPr>
          <w:i/>
          <w:iCs/>
        </w:rPr>
        <w:t>LeiD</w:t>
      </w:r>
      <w:r>
        <w:rPr>
          <w:i/>
          <w:iCs/>
          <w:vertAlign w:val="subscript"/>
        </w:rPr>
        <w:t>n</w:t>
      </w:r>
      <w:r>
        <w:t xml:space="preserve"> – cursul oficial mediu de schimb al leului moldovenesc fa</w:t>
      </w:r>
      <w:r w:rsidR="00782F78">
        <w:t>ț</w:t>
      </w:r>
      <w:r>
        <w:t>ă de dolarul SUA în anul “n”, anul pentru care se actualizează costurile, publicat de Banca Na</w:t>
      </w:r>
      <w:r w:rsidR="00782F78">
        <w:t>ț</w:t>
      </w:r>
      <w:r>
        <w:t>ională a Moldovei;</w:t>
      </w:r>
    </w:p>
    <w:p w:rsidR="001C5006" w:rsidRDefault="00A92D31" w:rsidP="002131EF">
      <w:pPr>
        <w:pStyle w:val="NormalWeb"/>
        <w:spacing w:after="120"/>
      </w:pPr>
      <w:r>
        <w:rPr>
          <w:i/>
          <w:iCs/>
        </w:rPr>
        <w:t>LeiD</w:t>
      </w:r>
      <w:r>
        <w:rPr>
          <w:i/>
          <w:iCs/>
          <w:vertAlign w:val="subscript"/>
        </w:rPr>
        <w:t>n-1</w:t>
      </w:r>
      <w:r>
        <w:t xml:space="preserve"> – cursul oficial, mediu de schimb al leului moldovenesc fa</w:t>
      </w:r>
      <w:r w:rsidR="00782F78">
        <w:t>ț</w:t>
      </w:r>
      <w:r>
        <w:t>ă de dolarul SUA în anul precedent, publicat de Banca Na</w:t>
      </w:r>
      <w:r w:rsidR="00782F78">
        <w:t>ț</w:t>
      </w:r>
      <w:r>
        <w:t>ională a Moldovei.</w:t>
      </w:r>
    </w:p>
    <w:p w:rsidR="001C5006" w:rsidRDefault="00A92D31">
      <w:pPr>
        <w:pStyle w:val="NormalWeb"/>
      </w:pPr>
      <w:r>
        <w:rPr>
          <w:i/>
          <w:iCs/>
        </w:rPr>
        <w:t>CIED</w:t>
      </w:r>
      <w:r>
        <w:rPr>
          <w:i/>
          <w:iCs/>
          <w:vertAlign w:val="subscript"/>
        </w:rPr>
        <w:t>n</w:t>
      </w:r>
      <w:r>
        <w:t>– costurile aferente între</w:t>
      </w:r>
      <w:r w:rsidR="00782F78">
        <w:t>ț</w:t>
      </w:r>
      <w:r>
        <w:t xml:space="preserve">inerii </w:t>
      </w:r>
      <w:r w:rsidR="00782F78">
        <w:t>ș</w:t>
      </w:r>
      <w:r>
        <w:t>i exploatării re</w:t>
      </w:r>
      <w:r w:rsidR="00782F78">
        <w:t>ț</w:t>
      </w:r>
      <w:r>
        <w:t>elelor electrice de distribu</w:t>
      </w:r>
      <w:r w:rsidR="00782F78">
        <w:t>ț</w:t>
      </w:r>
      <w:r>
        <w:t>ie, a altui utilaj de distribu</w:t>
      </w:r>
      <w:r w:rsidR="00782F78">
        <w:t>ț</w:t>
      </w:r>
      <w:r>
        <w:t xml:space="preserve">ie, a utilajului </w:t>
      </w:r>
      <w:r w:rsidR="00782F78">
        <w:t>ș</w:t>
      </w:r>
      <w:r>
        <w:t>i a instala</w:t>
      </w:r>
      <w:r w:rsidR="00782F78">
        <w:t>ț</w:t>
      </w:r>
      <w:r>
        <w:t>iilor unită</w:t>
      </w:r>
      <w:r w:rsidR="00782F78">
        <w:t>ț</w:t>
      </w:r>
      <w:r>
        <w:t xml:space="preserve">ilor auxiliare. Aceste </w:t>
      </w:r>
      <w:r w:rsidR="00B87CEC">
        <w:t>costuri</w:t>
      </w:r>
      <w:r>
        <w:t xml:space="preserve"> se determină pentru primul an de </w:t>
      </w:r>
      <w:r w:rsidR="002D213A">
        <w:t xml:space="preserve">aplicare </w:t>
      </w:r>
      <w:r>
        <w:t>al Metodologiei, anul de bază (CIED</w:t>
      </w:r>
      <w:r>
        <w:rPr>
          <w:vertAlign w:val="subscript"/>
        </w:rPr>
        <w:t>o</w:t>
      </w:r>
      <w:r>
        <w:t>), reie</w:t>
      </w:r>
      <w:r w:rsidR="00782F78">
        <w:t>ș</w:t>
      </w:r>
      <w:r>
        <w:t>ind din contractele de antrepriză încheiate cu ter</w:t>
      </w:r>
      <w:r w:rsidR="00782F78">
        <w:t>ț</w:t>
      </w:r>
      <w:r>
        <w:t>e păr</w:t>
      </w:r>
      <w:r w:rsidR="00782F78">
        <w:t>ț</w:t>
      </w:r>
      <w:r>
        <w:t>i în rezultatul achizi</w:t>
      </w:r>
      <w:r w:rsidR="00782F78">
        <w:t>ț</w:t>
      </w:r>
      <w:r>
        <w:t xml:space="preserve">iei de lucrări </w:t>
      </w:r>
      <w:r w:rsidR="00782F78">
        <w:t>ș</w:t>
      </w:r>
      <w:r>
        <w:t>i de servicii, efectuate în conformitate cu prevederile legisla</w:t>
      </w:r>
      <w:r w:rsidR="00782F78">
        <w:t>ț</w:t>
      </w:r>
      <w:r>
        <w:t xml:space="preserve">iei </w:t>
      </w:r>
      <w:r w:rsidR="00782F78">
        <w:t>ș</w:t>
      </w:r>
      <w:r>
        <w:t>i din analiza cheltuielilor de între</w:t>
      </w:r>
      <w:r w:rsidR="00782F78">
        <w:t>ț</w:t>
      </w:r>
      <w:r>
        <w:t xml:space="preserve">inere </w:t>
      </w:r>
      <w:r w:rsidR="00782F78">
        <w:t>ș</w:t>
      </w:r>
      <w:r>
        <w:t xml:space="preserve">i exploatare efectiv înregistrate perioada precedentă de reglementare. Aceste </w:t>
      </w:r>
      <w:r w:rsidR="00B87CEC">
        <w:t>costuri</w:t>
      </w:r>
      <w:r>
        <w:t xml:space="preserve"> se determină de OSD, se examinează </w:t>
      </w:r>
      <w:r w:rsidR="00782F78">
        <w:t>ș</w:t>
      </w:r>
      <w:r>
        <w:t xml:space="preserve">i se aprobă de către </w:t>
      </w:r>
      <w:r w:rsidR="00EB553F">
        <w:t>Agenție</w:t>
      </w:r>
      <w:r>
        <w:t xml:space="preserve"> ca fiind costuri de bază pentru toată perioada de </w:t>
      </w:r>
      <w:r w:rsidR="002D213A">
        <w:t xml:space="preserve">aplicare </w:t>
      </w:r>
      <w:r>
        <w:t xml:space="preserve">a Metodologiei. Pentru fiecare următor an “n”, </w:t>
      </w:r>
      <w:r w:rsidR="00B0041E">
        <w:t>costuri</w:t>
      </w:r>
      <w:r>
        <w:t>le în cauză se actualizează în conformitate cu următoarea formulă:</w:t>
      </w:r>
    </w:p>
    <w:p w:rsidR="001C5006" w:rsidRDefault="00A92D31">
      <w:pPr>
        <w:pStyle w:val="NormalWeb"/>
      </w:pPr>
      <w:r>
        <w:t> </w:t>
      </w:r>
    </w:p>
    <w:p w:rsidR="001C5006" w:rsidRDefault="00A92D31">
      <w:pPr>
        <w:pStyle w:val="cn"/>
      </w:pPr>
      <w:r>
        <w:rPr>
          <w:i/>
          <w:iCs/>
        </w:rPr>
        <w:t>CIED</w:t>
      </w:r>
      <w:r>
        <w:rPr>
          <w:i/>
          <w:iCs/>
          <w:vertAlign w:val="subscript"/>
        </w:rPr>
        <w:t>n</w:t>
      </w:r>
      <w:r>
        <w:rPr>
          <w:i/>
          <w:iCs/>
        </w:rPr>
        <w:t xml:space="preserve"> = CIED</w:t>
      </w:r>
      <w:r>
        <w:rPr>
          <w:i/>
          <w:iCs/>
          <w:vertAlign w:val="subscript"/>
        </w:rPr>
        <w:t>0</w:t>
      </w:r>
      <w:r>
        <w:rPr>
          <w:i/>
          <w:iCs/>
        </w:rPr>
        <w:t xml:space="preserve"> × ∏[(1 + IPCM</w:t>
      </w:r>
      <w:r>
        <w:rPr>
          <w:i/>
          <w:iCs/>
          <w:vertAlign w:val="subscript"/>
        </w:rPr>
        <w:t>n</w:t>
      </w:r>
      <w:r>
        <w:rPr>
          <w:i/>
          <w:iCs/>
        </w:rPr>
        <w:t xml:space="preserve"> – X</w:t>
      </w:r>
      <w:r>
        <w:rPr>
          <w:i/>
          <w:iCs/>
          <w:vertAlign w:val="subscript"/>
        </w:rPr>
        <w:t>1</w:t>
      </w:r>
      <w:r>
        <w:rPr>
          <w:i/>
          <w:iCs/>
        </w:rPr>
        <w:t>) × (1 + ΔNC</w:t>
      </w:r>
      <w:r>
        <w:rPr>
          <w:i/>
          <w:iCs/>
          <w:vertAlign w:val="subscript"/>
        </w:rPr>
        <w:t>n</w:t>
      </w:r>
      <w:r>
        <w:rPr>
          <w:i/>
          <w:iCs/>
        </w:rPr>
        <w:t>)]</w:t>
      </w:r>
      <w:r>
        <w:t xml:space="preserve"> (3</w:t>
      </w:r>
      <w:r w:rsidR="00466B2F">
        <w:t>3</w:t>
      </w:r>
      <w:r>
        <w:t>)</w:t>
      </w:r>
    </w:p>
    <w:p w:rsidR="001C5006" w:rsidRDefault="00A92D31">
      <w:pPr>
        <w:pStyle w:val="NormalWeb"/>
      </w:pPr>
      <w:r>
        <w:t> </w:t>
      </w:r>
    </w:p>
    <w:p w:rsidR="001C5006" w:rsidRDefault="002852C1">
      <w:pPr>
        <w:pStyle w:val="NormalWeb"/>
      </w:pPr>
      <w:r>
        <w:rPr>
          <w:b/>
          <w:bCs/>
        </w:rPr>
        <w:t>2</w:t>
      </w:r>
      <w:r w:rsidRPr="00AA0E26">
        <w:rPr>
          <w:b/>
          <w:bCs/>
        </w:rPr>
        <w:t>3</w:t>
      </w:r>
      <w:r w:rsidR="00A92D31">
        <w:rPr>
          <w:b/>
          <w:bCs/>
        </w:rPr>
        <w:t>.</w:t>
      </w:r>
      <w:r w:rsidR="00A92D31">
        <w:t xml:space="preserve"> În cazurile în care, costurile de între</w:t>
      </w:r>
      <w:r w:rsidR="00782F78">
        <w:t>ț</w:t>
      </w:r>
      <w:r w:rsidR="00A92D31">
        <w:t>inere a re</w:t>
      </w:r>
      <w:r w:rsidR="00782F78">
        <w:t>ț</w:t>
      </w:r>
      <w:r w:rsidR="00A92D31">
        <w:t>elelor electrice de distribu</w:t>
      </w:r>
      <w:r w:rsidR="00782F78">
        <w:t>ț</w:t>
      </w:r>
      <w:r w:rsidR="00A92D31">
        <w:t>ie (în componen</w:t>
      </w:r>
      <w:r w:rsidR="00782F78">
        <w:t>ț</w:t>
      </w:r>
      <w:r w:rsidR="00A92D31">
        <w:t xml:space="preserve">a cărora intră costurile cu personalul, costurile materiale </w:t>
      </w:r>
      <w:r w:rsidR="00782F78">
        <w:t>ș</w:t>
      </w:r>
      <w:r w:rsidR="00A92D31">
        <w:t>i costurile de între</w:t>
      </w:r>
      <w:r w:rsidR="00782F78">
        <w:t>ț</w:t>
      </w:r>
      <w:r w:rsidR="00A92D31">
        <w:t xml:space="preserve">inere </w:t>
      </w:r>
      <w:r w:rsidR="00782F78">
        <w:t>ș</w:t>
      </w:r>
      <w:r w:rsidR="00A92D31">
        <w:t>i de exploatare) nu pot fi determinate separat pentru fiecare tip de re</w:t>
      </w:r>
      <w:r w:rsidR="00782F78">
        <w:t>ț</w:t>
      </w:r>
      <w:r w:rsidR="00A92D31">
        <w:t>ea, Metodologia prevede repartizarea acestora pe fiecare tip de re</w:t>
      </w:r>
      <w:r w:rsidR="00782F78">
        <w:t>ț</w:t>
      </w:r>
      <w:r w:rsidR="00A92D31">
        <w:t>ea, propor</w:t>
      </w:r>
      <w:r w:rsidR="00782F78">
        <w:t>ț</w:t>
      </w:r>
      <w:r w:rsidR="00A92D31">
        <w:t>ional valorii contabile a mijloacelor fixe nemijlocit aferente tipului respectiv de re</w:t>
      </w:r>
      <w:r w:rsidR="00782F78">
        <w:t>ț</w:t>
      </w:r>
      <w:r w:rsidR="00A92D31">
        <w:t>ea (de înaltă, de medie sau de joasă tensiune):</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CB25EB" w:rsidRDefault="00A726DA">
      <w:pPr>
        <w:pStyle w:val="cn"/>
      </w:pPr>
      <m:oMathPara>
        <m:oMath>
          <m:sSub>
            <m:sSubPr>
              <m:ctrlPr>
                <w:rPr>
                  <w:rFonts w:ascii="Cambria Math" w:hAnsi="Cambria Math"/>
                  <w:i/>
                </w:rPr>
              </m:ctrlPr>
            </m:sSubPr>
            <m:e>
              <m:r>
                <w:rPr>
                  <w:rFonts w:ascii="Cambria Math" w:hAnsi="Cambria Math"/>
                </w:rPr>
                <m:t>CID</m:t>
              </m:r>
            </m:e>
            <m:sub>
              <m:r>
                <w:rPr>
                  <w:rFonts w:ascii="Cambria Math" w:hAnsi="Cambria Math"/>
                </w:rPr>
                <m:t>nît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CID</m:t>
                  </m:r>
                </m:e>
                <m:sub>
                  <m:r>
                    <w:rPr>
                      <w:rFonts w:ascii="Cambria Math" w:hAnsi="Cambria Math"/>
                    </w:rPr>
                    <m:t>n</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nît</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CIED</m:t>
                      </m:r>
                    </m:e>
                    <m:sub>
                      <m:r>
                        <w:rPr>
                          <w:rFonts w:ascii="Cambria Math" w:hAnsi="Cambria Math"/>
                        </w:rPr>
                        <m:t>n</m:t>
                      </m:r>
                    </m:sub>
                  </m:sSub>
                </m:e>
              </m:d>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nît</m:t>
              </m:r>
            </m:sub>
          </m:sSub>
          <m:r>
            <w:rPr>
              <w:rFonts w:ascii="Cambria Math" w:hAnsi="Cambria Math"/>
            </w:rPr>
            <m:t xml:space="preserve">   (34)</m:t>
          </m:r>
        </m:oMath>
      </m:oMathPara>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991131" w:rsidRDefault="00A726DA">
      <w:pPr>
        <w:pStyle w:val="cn"/>
      </w:pPr>
      <m:oMathPara>
        <m:oMath>
          <m:sSub>
            <m:sSubPr>
              <m:ctrlPr>
                <w:rPr>
                  <w:rFonts w:ascii="Cambria Math" w:hAnsi="Cambria Math"/>
                  <w:i/>
                </w:rPr>
              </m:ctrlPr>
            </m:sSubPr>
            <m:e>
              <m:r>
                <w:rPr>
                  <w:rFonts w:ascii="Cambria Math" w:hAnsi="Cambria Math"/>
                </w:rPr>
                <m:t>CID</m:t>
              </m:r>
            </m:e>
            <m:sub>
              <m:r>
                <w:rPr>
                  <w:rFonts w:ascii="Cambria Math" w:hAnsi="Cambria Math"/>
                </w:rPr>
                <m:t>nmt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CID</m:t>
                  </m:r>
                </m:e>
                <m:sub>
                  <m:r>
                    <w:rPr>
                      <w:rFonts w:ascii="Cambria Math" w:hAnsi="Cambria Math"/>
                    </w:rPr>
                    <m:t>n</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nmt</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CIED</m:t>
                      </m:r>
                    </m:e>
                    <m:sub>
                      <m:r>
                        <w:rPr>
                          <w:rFonts w:ascii="Cambria Math" w:hAnsi="Cambria Math"/>
                        </w:rPr>
                        <m:t>n</m:t>
                      </m:r>
                    </m:sub>
                  </m:sSub>
                </m:e>
              </m:d>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nmt</m:t>
              </m:r>
            </m:sub>
          </m:sSub>
          <m:r>
            <w:rPr>
              <w:rFonts w:ascii="Cambria Math" w:hAnsi="Cambria Math"/>
            </w:rPr>
            <m:t xml:space="preserve">   (35)</m:t>
          </m:r>
        </m:oMath>
      </m:oMathPara>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pPr>
        <w:pStyle w:val="NormalWeb"/>
      </w:pPr>
      <w:r>
        <w:t> </w:t>
      </w:r>
    </w:p>
    <w:p w:rsidR="00991131" w:rsidRDefault="00A726DA">
      <w:pPr>
        <w:pStyle w:val="cn"/>
      </w:pPr>
      <m:oMathPara>
        <m:oMath>
          <m:sSub>
            <m:sSubPr>
              <m:ctrlPr>
                <w:rPr>
                  <w:rFonts w:ascii="Cambria Math" w:hAnsi="Cambria Math"/>
                  <w:i/>
                </w:rPr>
              </m:ctrlPr>
            </m:sSubPr>
            <m:e>
              <m:r>
                <w:rPr>
                  <w:rFonts w:ascii="Cambria Math" w:hAnsi="Cambria Math"/>
                </w:rPr>
                <m:t>CID</m:t>
              </m:r>
            </m:e>
            <m:sub>
              <m:r>
                <w:rPr>
                  <w:rFonts w:ascii="Cambria Math" w:hAnsi="Cambria Math"/>
                </w:rPr>
                <m:t>njt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CID</m:t>
                  </m:r>
                </m:e>
                <m:sub>
                  <m:r>
                    <w:rPr>
                      <w:rFonts w:ascii="Cambria Math" w:hAnsi="Cambria Math"/>
                    </w:rPr>
                    <m:t>n</m:t>
                  </m:r>
                </m:sub>
              </m:sSub>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njt</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CIED</m:t>
                      </m:r>
                    </m:e>
                    <m:sub>
                      <m:r>
                        <w:rPr>
                          <w:rFonts w:ascii="Cambria Math" w:hAnsi="Cambria Math"/>
                        </w:rPr>
                        <m:t>n</m:t>
                      </m:r>
                    </m:sub>
                  </m:sSub>
                </m:e>
              </m:d>
            </m:num>
            <m:den>
              <m:sSub>
                <m:sSubPr>
                  <m:ctrlPr>
                    <w:rPr>
                      <w:rFonts w:ascii="Cambria Math" w:hAnsi="Cambria Math"/>
                      <w:i/>
                    </w:rPr>
                  </m:ctrlPr>
                </m:sSubPr>
                <m:e>
                  <m:r>
                    <w:rPr>
                      <w:rFonts w:ascii="Cambria Math" w:hAnsi="Cambria Math"/>
                    </w:rPr>
                    <m:t>VBAD</m:t>
                  </m:r>
                </m:e>
                <m:sub>
                  <m:r>
                    <w:rPr>
                      <w:rFonts w:ascii="Cambria Math" w:hAnsi="Cambria Math"/>
                    </w:rPr>
                    <m:t>nt</m:t>
                  </m:r>
                </m:sub>
              </m:sSub>
            </m:den>
          </m:f>
          <m:r>
            <w:rPr>
              <w:rFonts w:ascii="Cambria Math" w:hAnsi="Cambria Math"/>
            </w:rPr>
            <m:t>×</m:t>
          </m:r>
          <m:sSub>
            <m:sSubPr>
              <m:ctrlPr>
                <w:rPr>
                  <w:rFonts w:ascii="Cambria Math" w:hAnsi="Cambria Math"/>
                  <w:i/>
                </w:rPr>
              </m:ctrlPr>
            </m:sSubPr>
            <m:e>
              <m:r>
                <w:rPr>
                  <w:rFonts w:ascii="Cambria Math" w:hAnsi="Cambria Math"/>
                </w:rPr>
                <m:t>VBAD</m:t>
              </m:r>
            </m:e>
            <m:sub>
              <m:r>
                <w:rPr>
                  <w:rFonts w:ascii="Cambria Math" w:hAnsi="Cambria Math"/>
                </w:rPr>
                <m:t>njt</m:t>
              </m:r>
            </m:sub>
          </m:sSub>
          <m:r>
            <w:rPr>
              <w:rFonts w:ascii="Cambria Math" w:hAnsi="Cambria Math"/>
            </w:rPr>
            <m:t xml:space="preserve">   (36)</m:t>
          </m:r>
        </m:oMath>
      </m:oMathPara>
    </w:p>
    <w:p w:rsidR="001C5006" w:rsidRDefault="00A92D31">
      <w:pPr>
        <w:pStyle w:val="NormalWeb"/>
      </w:pPr>
      <w:r>
        <w:t> </w:t>
      </w:r>
    </w:p>
    <w:p w:rsidR="001C5006" w:rsidRDefault="002852C1">
      <w:pPr>
        <w:pStyle w:val="NormalWeb"/>
      </w:pPr>
      <w:r>
        <w:rPr>
          <w:b/>
          <w:bCs/>
        </w:rPr>
        <w:t>2</w:t>
      </w:r>
      <w:r w:rsidRPr="00AA0E26">
        <w:rPr>
          <w:b/>
          <w:bCs/>
        </w:rPr>
        <w:t>4</w:t>
      </w:r>
      <w:r w:rsidR="00A92D31">
        <w:rPr>
          <w:b/>
          <w:bCs/>
        </w:rPr>
        <w:t>.</w:t>
      </w:r>
      <w:r w:rsidR="00A92D31">
        <w:t xml:space="preserve"> Costurile legate de eviden</w:t>
      </w:r>
      <w:r w:rsidR="00782F78">
        <w:t>ț</w:t>
      </w:r>
      <w:r w:rsidR="00A92D31">
        <w:t>a energiei electrice distribuite (CED) sunt compuse din cheltuielile aferente controlului echipamentelor de măsurare a energiei electrice în scopuri comerciale, citirii lunare a echipamentelor de măsurare a energiei electrice în scopuri comerciale, instalate la punctele de delimitare cu re</w:t>
      </w:r>
      <w:r w:rsidR="00782F78">
        <w:t>ț</w:t>
      </w:r>
      <w:r w:rsidR="00A92D31">
        <w:t xml:space="preserve">eaua electrică de transport </w:t>
      </w:r>
      <w:r w:rsidR="00782F78">
        <w:t>ș</w:t>
      </w:r>
      <w:r w:rsidR="00A92D31">
        <w:t>i cu instala</w:t>
      </w:r>
      <w:r w:rsidR="00782F78">
        <w:t>ț</w:t>
      </w:r>
      <w:r w:rsidR="00A92D31">
        <w:t>iile electrice ale consumatorilor finali, care sunt racordate la re</w:t>
      </w:r>
      <w:r w:rsidR="00782F78">
        <w:t>ț</w:t>
      </w:r>
      <w:r w:rsidR="00A92D31">
        <w:t>elele electrice de distribu</w:t>
      </w:r>
      <w:r w:rsidR="00782F78">
        <w:t>ț</w:t>
      </w:r>
      <w:r w:rsidR="00A92D31">
        <w:t>ie, întocmirii bilan</w:t>
      </w:r>
      <w:r w:rsidR="00782F78">
        <w:t>ț</w:t>
      </w:r>
      <w:r w:rsidR="00A92D31">
        <w:t xml:space="preserve">ului energiei electrice intrate </w:t>
      </w:r>
      <w:r w:rsidR="00782F78">
        <w:t>ș</w:t>
      </w:r>
      <w:r w:rsidR="00A92D31">
        <w:t>i ie</w:t>
      </w:r>
      <w:r w:rsidR="00782F78">
        <w:t>ș</w:t>
      </w:r>
      <w:r w:rsidR="00A92D31">
        <w:t>ite din re</w:t>
      </w:r>
      <w:r w:rsidR="00782F78">
        <w:t>ț</w:t>
      </w:r>
      <w:r w:rsidR="00A92D31">
        <w:t xml:space="preserve">ea, determinării consumului tehnologic </w:t>
      </w:r>
      <w:r w:rsidR="00782F78">
        <w:t>ș</w:t>
      </w:r>
      <w:r w:rsidR="00A92D31">
        <w:t>i a pierderilor de energie electrică în re</w:t>
      </w:r>
      <w:r w:rsidR="00782F78">
        <w:t>ț</w:t>
      </w:r>
      <w:r w:rsidR="00A92D31">
        <w:t>elele electrice de distribu</w:t>
      </w:r>
      <w:r w:rsidR="00782F78">
        <w:t>ț</w:t>
      </w:r>
      <w:r w:rsidR="00A92D31">
        <w:t xml:space="preserve">ie, transmiterii lunare furnizorilor </w:t>
      </w:r>
      <w:r w:rsidR="00782F78">
        <w:t>ș</w:t>
      </w:r>
      <w:r w:rsidR="00A92D31">
        <w:t xml:space="preserve">i/sau consumatorilor eligibili a datelor privind energia electrică distribuită fiecărui consumator, la fiecare loc de consum. La aceste </w:t>
      </w:r>
      <w:r w:rsidR="00622AD5">
        <w:t>costuri</w:t>
      </w:r>
      <w:r w:rsidR="00A92D31">
        <w:t xml:space="preserve"> se referă costurile cu personalul încadrat în acest proces, costurile materiale necesare pentru efectuarea eviden</w:t>
      </w:r>
      <w:r w:rsidR="00782F78">
        <w:t>ț</w:t>
      </w:r>
      <w:r w:rsidR="00A92D31">
        <w:t xml:space="preserve">ei energiei electrice </w:t>
      </w:r>
      <w:r w:rsidR="00782F78">
        <w:t>ș</w:t>
      </w:r>
      <w:r w:rsidR="00A92D31">
        <w:t>i cheltuielile privind serviciile prestate de ter</w:t>
      </w:r>
      <w:r w:rsidR="00782F78">
        <w:t>ț</w:t>
      </w:r>
      <w:r w:rsidR="00A92D31">
        <w:t>i aferente eviden</w:t>
      </w:r>
      <w:r w:rsidR="00782F78">
        <w:t>ț</w:t>
      </w:r>
      <w:r w:rsidR="00A92D31">
        <w:t xml:space="preserve">ei energiei electrice. Aceste </w:t>
      </w:r>
      <w:r w:rsidR="00622AD5">
        <w:t>costuri</w:t>
      </w:r>
      <w:r w:rsidR="00A92D31">
        <w:t xml:space="preserve"> se determină de OSD, se examinează </w:t>
      </w:r>
      <w:r w:rsidR="00782F78">
        <w:t>ș</w:t>
      </w:r>
      <w:r w:rsidR="00A92D31">
        <w:t xml:space="preserve">i se aprobă de </w:t>
      </w:r>
      <w:r w:rsidR="00EB553F">
        <w:t>Agenție</w:t>
      </w:r>
      <w:r w:rsidR="00A92D31">
        <w:t xml:space="preserve"> pentru primul an de </w:t>
      </w:r>
      <w:r w:rsidR="002D213A">
        <w:t xml:space="preserve">aplicare </w:t>
      </w:r>
      <w:r w:rsidR="00A92D31">
        <w:t>a Metodologiei – anul de bază (</w:t>
      </w:r>
      <w:r w:rsidR="00A92D31">
        <w:rPr>
          <w:b/>
          <w:bCs/>
          <w:i/>
          <w:iCs/>
        </w:rPr>
        <w:t>CED</w:t>
      </w:r>
      <w:r w:rsidR="00A92D31">
        <w:rPr>
          <w:b/>
          <w:bCs/>
          <w:i/>
          <w:iCs/>
          <w:vertAlign w:val="subscript"/>
        </w:rPr>
        <w:t>o</w:t>
      </w:r>
      <w:r w:rsidR="00A92D31">
        <w:t>) integral pe OSD, iar în următorii ani se actualizează conform formulei:</w:t>
      </w:r>
    </w:p>
    <w:p w:rsidR="001C5006" w:rsidRDefault="00A92D31">
      <w:pPr>
        <w:pStyle w:val="NormalWeb"/>
      </w:pPr>
      <w:r>
        <w:t> </w:t>
      </w:r>
    </w:p>
    <w:p w:rsidR="00991131" w:rsidRDefault="00A726DA">
      <w:pPr>
        <w:pStyle w:val="cn"/>
      </w:pPr>
      <m:oMathPara>
        <m:oMath>
          <m:sSub>
            <m:sSubPr>
              <m:ctrlPr>
                <w:rPr>
                  <w:rFonts w:ascii="Cambria Math" w:hAnsi="Cambria Math"/>
                  <w:i/>
                </w:rPr>
              </m:ctrlPr>
            </m:sSubPr>
            <m:e>
              <m:r>
                <w:rPr>
                  <w:rFonts w:ascii="Cambria Math" w:hAnsi="Cambria Math"/>
                </w:rPr>
                <m:t>CED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CED</m:t>
              </m:r>
            </m:e>
            <m:sub>
              <m:r>
                <w:rPr>
                  <w:rFonts w:ascii="Cambria Math" w:hAnsi="Cambria Math"/>
                </w:rPr>
                <m:t>0</m:t>
              </m:r>
            </m:sub>
          </m:sSub>
          <m:r>
            <w:rPr>
              <w:rFonts w:ascii="Cambria Math" w:hAnsi="Cambria Math"/>
            </w:rPr>
            <m:t>×</m:t>
          </m:r>
          <m:nary>
            <m:naryPr>
              <m:chr m:val="∏"/>
              <m:limLoc m:val="undOvr"/>
              <m:subHide m:val="on"/>
              <m:supHide m:val="on"/>
              <m:ctrlPr>
                <w:rPr>
                  <w:rFonts w:ascii="Cambria Math" w:hAnsi="Cambria Math"/>
                  <w:i/>
                </w:rPr>
              </m:ctrlPr>
            </m:naryPr>
            <m:sub/>
            <m:sup/>
            <m:e>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IPCM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NC</m:t>
                          </m:r>
                        </m:e>
                        <m:sub>
                          <m:r>
                            <w:rPr>
                              <w:rFonts w:ascii="Cambria Math" w:hAnsi="Cambria Math"/>
                            </w:rPr>
                            <m:t>n</m:t>
                          </m:r>
                        </m:sub>
                      </m:sSub>
                    </m:e>
                  </m:d>
                </m:e>
              </m:d>
              <m:r>
                <w:rPr>
                  <w:rFonts w:ascii="Cambria Math" w:hAnsi="Cambria Math"/>
                </w:rPr>
                <m:t xml:space="preserve">    (37)</m:t>
              </m:r>
            </m:e>
          </m:nary>
        </m:oMath>
      </m:oMathPara>
    </w:p>
    <w:p w:rsidR="001C5006" w:rsidRDefault="00A92D31">
      <w:pPr>
        <w:pStyle w:val="NormalWeb"/>
      </w:pPr>
      <w:r>
        <w:t> </w:t>
      </w:r>
    </w:p>
    <w:p w:rsidR="001C5006" w:rsidRDefault="00A92D31" w:rsidP="002131EF">
      <w:pPr>
        <w:pStyle w:val="NormalWeb"/>
        <w:spacing w:after="120"/>
      </w:pPr>
      <w:r>
        <w:t>Repartizarea acestor c</w:t>
      </w:r>
      <w:r w:rsidR="00622AD5">
        <w:t>osturi</w:t>
      </w:r>
      <w:r>
        <w:t xml:space="preserve"> între re</w:t>
      </w:r>
      <w:r w:rsidR="00782F78">
        <w:t>ț</w:t>
      </w:r>
      <w:r>
        <w:t>elele electrice de distribu</w:t>
      </w:r>
      <w:r w:rsidR="00782F78">
        <w:t>ț</w:t>
      </w:r>
      <w:r>
        <w:t xml:space="preserve">ie de înaltă, de medie </w:t>
      </w:r>
      <w:r w:rsidR="00782F78">
        <w:t>ș</w:t>
      </w:r>
      <w:r>
        <w:t>i de joasă tensiune se efectuează propor</w:t>
      </w:r>
      <w:r w:rsidR="00782F78">
        <w:t>ț</w:t>
      </w:r>
      <w:r>
        <w:t>ional cantită</w:t>
      </w:r>
      <w:r w:rsidR="00782F78">
        <w:t>ț</w:t>
      </w:r>
      <w:r>
        <w:t>ii de energie electrică distribuită consumatorilor finali ale căror instala</w:t>
      </w:r>
      <w:r w:rsidR="00782F78">
        <w:t>ț</w:t>
      </w:r>
      <w:r>
        <w:t>ii electrice sunt racordate la nivelul respectiv de tensiune a re</w:t>
      </w:r>
      <w:r w:rsidR="00782F78">
        <w:t>ț</w:t>
      </w:r>
      <w:r>
        <w:t>elelor electrice de distribu</w:t>
      </w:r>
      <w:r w:rsidR="00782F78">
        <w:t>ț</w:t>
      </w:r>
      <w:r>
        <w:t>ie.</w:t>
      </w:r>
    </w:p>
    <w:p w:rsidR="001C5006" w:rsidRDefault="002852C1">
      <w:pPr>
        <w:pStyle w:val="NormalWeb"/>
      </w:pPr>
      <w:r>
        <w:rPr>
          <w:b/>
          <w:bCs/>
        </w:rPr>
        <w:t>2</w:t>
      </w:r>
      <w:r w:rsidRPr="00AA0E26">
        <w:rPr>
          <w:b/>
          <w:bCs/>
        </w:rPr>
        <w:t>5</w:t>
      </w:r>
      <w:r w:rsidR="00A92D31">
        <w:rPr>
          <w:b/>
          <w:bCs/>
        </w:rPr>
        <w:t>.</w:t>
      </w:r>
      <w:r w:rsidR="00A92D31">
        <w:t xml:space="preserve"> Costul consumului tehnologic </w:t>
      </w:r>
      <w:r w:rsidR="00782F78">
        <w:t>ș</w:t>
      </w:r>
      <w:r w:rsidR="00A92D31">
        <w:t>i al pierderilor de energie electrică în re</w:t>
      </w:r>
      <w:r w:rsidR="00782F78">
        <w:t>ț</w:t>
      </w:r>
      <w:r w:rsidR="00A92D31">
        <w:t>elele electrice de distribu</w:t>
      </w:r>
      <w:r w:rsidR="00782F78">
        <w:t>ț</w:t>
      </w:r>
      <w:r w:rsidR="00A92D31">
        <w:t>ie (</w:t>
      </w:r>
      <w:r w:rsidR="00A92D31">
        <w:rPr>
          <w:b/>
          <w:bCs/>
          <w:i/>
          <w:iCs/>
        </w:rPr>
        <w:t>CPD</w:t>
      </w:r>
      <w:r w:rsidR="00A92D31">
        <w:t>) pentru fiecare an “n” se determină de către OSD integral, pe re</w:t>
      </w:r>
      <w:r w:rsidR="00782F78">
        <w:t>ț</w:t>
      </w:r>
      <w:r w:rsidR="00A92D31">
        <w:t>elele electrice de distribu</w:t>
      </w:r>
      <w:r w:rsidR="00782F78">
        <w:t>ț</w:t>
      </w:r>
      <w:r w:rsidR="00A92D31">
        <w:t xml:space="preserve">ie, </w:t>
      </w:r>
      <w:r w:rsidR="00782F78">
        <w:t>ș</w:t>
      </w:r>
      <w:r w:rsidR="00A92D31">
        <w:t>i separat, pentru fiecare tip de re</w:t>
      </w:r>
      <w:r w:rsidR="00782F78">
        <w:t>ț</w:t>
      </w:r>
      <w:r w:rsidR="00A92D31">
        <w:t>ea electrică de distribu</w:t>
      </w:r>
      <w:r w:rsidR="00782F78">
        <w:t>ț</w:t>
      </w:r>
      <w:r w:rsidR="00A92D31">
        <w:t xml:space="preserve">ie (de înaltă, de medie </w:t>
      </w:r>
      <w:r w:rsidR="00782F78">
        <w:t>ș</w:t>
      </w:r>
      <w:r w:rsidR="00A92D31">
        <w:t>i de joasă tensiune), reie</w:t>
      </w:r>
      <w:r w:rsidR="00782F78">
        <w:t>ș</w:t>
      </w:r>
      <w:r w:rsidR="00A92D31">
        <w:t xml:space="preserve">ind din cantitatea de energie electrică necesară de a fi procurată pentru acoperirea consumului tehnologic </w:t>
      </w:r>
      <w:r w:rsidR="00782F78">
        <w:t>ș</w:t>
      </w:r>
      <w:r w:rsidR="00A92D31">
        <w:t>i a pierderilor de energie electrică, admise, în scopuri tarifare, în re</w:t>
      </w:r>
      <w:r w:rsidR="00782F78">
        <w:t>ț</w:t>
      </w:r>
      <w:r w:rsidR="00A92D31">
        <w:t>elele electrice de distribu</w:t>
      </w:r>
      <w:r w:rsidR="00782F78">
        <w:t>ț</w:t>
      </w:r>
      <w:r w:rsidR="00A92D31">
        <w:t xml:space="preserve">ie </w:t>
      </w:r>
      <w:r w:rsidR="00782F78">
        <w:t>ș</w:t>
      </w:r>
      <w:r w:rsidR="00A92D31">
        <w:t>i din pre</w:t>
      </w:r>
      <w:r w:rsidR="00782F78">
        <w:t>ț</w:t>
      </w:r>
      <w:r w:rsidR="00A92D31">
        <w:t>ul mediu de procurare a energiei electrice în anul “n” pentru acoperirea acestor necesită</w:t>
      </w:r>
      <w:r w:rsidR="00782F78">
        <w:t>ț</w:t>
      </w:r>
      <w:r w:rsidR="00A92D31">
        <w:t>ii. Astfel, în fiecare an “n” pentru fiecare tip de re</w:t>
      </w:r>
      <w:r w:rsidR="00782F78">
        <w:t>ț</w:t>
      </w:r>
      <w:r w:rsidR="00A92D31">
        <w:t>ea electrică de distribu</w:t>
      </w:r>
      <w:r w:rsidR="00782F78">
        <w:t>ț</w:t>
      </w:r>
      <w:r w:rsidR="00A92D31">
        <w:t xml:space="preserve">ie, costul consumului tehnologic </w:t>
      </w:r>
      <w:r w:rsidR="00782F78">
        <w:t>ș</w:t>
      </w:r>
      <w:r w:rsidR="00A92D31">
        <w:t>i al pierderilor de energie electrică în re</w:t>
      </w:r>
      <w:r w:rsidR="00782F78">
        <w:t>ț</w:t>
      </w:r>
      <w:r w:rsidR="00A92D31">
        <w:t>elele electrice de distribu</w:t>
      </w:r>
      <w:r w:rsidR="00782F78">
        <w:t>ț</w:t>
      </w:r>
      <w:r w:rsidR="00A92D31">
        <w:t>ie se determină conform formulelor:</w:t>
      </w:r>
    </w:p>
    <w:p w:rsidR="001C5006" w:rsidRDefault="00A92D31">
      <w:pPr>
        <w:pStyle w:val="NormalWeb"/>
      </w:pPr>
      <w:r>
        <w:t>1) pentru re</w:t>
      </w:r>
      <w:r w:rsidR="00782F78">
        <w:t>ț</w:t>
      </w:r>
      <w:r>
        <w:t>elele electrice de distribu</w:t>
      </w:r>
      <w:r w:rsidR="00782F78">
        <w:t>ț</w:t>
      </w:r>
      <w:r>
        <w:t>ie de tensiune înaltă:</w:t>
      </w:r>
    </w:p>
    <w:p w:rsidR="001C5006" w:rsidRDefault="00A92D31">
      <w:pPr>
        <w:pStyle w:val="NormalWeb"/>
      </w:pPr>
      <w:r>
        <w:t> </w:t>
      </w:r>
    </w:p>
    <w:p w:rsidR="001C5006" w:rsidRDefault="00A92D31">
      <w:pPr>
        <w:pStyle w:val="cn"/>
      </w:pPr>
      <w:r>
        <w:rPr>
          <w:i/>
          <w:iCs/>
        </w:rPr>
        <w:t>CPD</w:t>
      </w:r>
      <w:r>
        <w:rPr>
          <w:i/>
          <w:iCs/>
          <w:vertAlign w:val="subscript"/>
        </w:rPr>
        <w:t>n</w:t>
      </w:r>
      <w:r w:rsidR="00AD2A37">
        <w:rPr>
          <w:i/>
          <w:iCs/>
          <w:vertAlign w:val="subscript"/>
        </w:rPr>
        <w:t>î</w:t>
      </w:r>
      <w:r>
        <w:rPr>
          <w:i/>
          <w:iCs/>
          <w:vertAlign w:val="subscript"/>
        </w:rPr>
        <w:t>t</w:t>
      </w:r>
      <w:r>
        <w:rPr>
          <w:i/>
          <w:iCs/>
        </w:rPr>
        <w:t xml:space="preserve"> = PD</w:t>
      </w:r>
      <w:r w:rsidR="00AD2A37">
        <w:rPr>
          <w:i/>
          <w:iCs/>
          <w:vertAlign w:val="subscript"/>
        </w:rPr>
        <w:t>nî</w:t>
      </w:r>
      <w:r>
        <w:rPr>
          <w:i/>
          <w:iCs/>
          <w:vertAlign w:val="subscript"/>
        </w:rPr>
        <w:t>t</w:t>
      </w:r>
      <w:r>
        <w:rPr>
          <w:i/>
          <w:iCs/>
        </w:rPr>
        <w:t xml:space="preserve"> × PE</w:t>
      </w:r>
      <w:r>
        <w:rPr>
          <w:i/>
          <w:iCs/>
          <w:vertAlign w:val="subscript"/>
        </w:rPr>
        <w:t>n</w:t>
      </w:r>
      <w:r>
        <w:t xml:space="preserve"> (3</w:t>
      </w:r>
      <w:r w:rsidR="00466B2F">
        <w:t>8</w:t>
      </w:r>
      <w:r>
        <w:t>)</w:t>
      </w:r>
    </w:p>
    <w:p w:rsidR="001C5006" w:rsidRDefault="00A92D31">
      <w:pPr>
        <w:pStyle w:val="NormalWeb"/>
      </w:pPr>
      <w:r>
        <w:t> </w:t>
      </w:r>
    </w:p>
    <w:p w:rsidR="001C5006" w:rsidRDefault="00A92D31">
      <w:pPr>
        <w:pStyle w:val="NormalWeb"/>
      </w:pPr>
      <w:r>
        <w:t>2) pentru re</w:t>
      </w:r>
      <w:r w:rsidR="00782F78">
        <w:t>ț</w:t>
      </w:r>
      <w:r>
        <w:t>elele electrice de distribu</w:t>
      </w:r>
      <w:r w:rsidR="00782F78">
        <w:t>ț</w:t>
      </w:r>
      <w:r>
        <w:t>ie de tensiune medie:</w:t>
      </w:r>
    </w:p>
    <w:p w:rsidR="001C5006" w:rsidRDefault="00A92D31">
      <w:pPr>
        <w:pStyle w:val="NormalWeb"/>
      </w:pPr>
      <w:r>
        <w:t> </w:t>
      </w:r>
    </w:p>
    <w:p w:rsidR="001C5006" w:rsidRDefault="00A92D31">
      <w:pPr>
        <w:pStyle w:val="cn"/>
      </w:pPr>
      <w:r>
        <w:rPr>
          <w:i/>
          <w:iCs/>
        </w:rPr>
        <w:t>CPD</w:t>
      </w:r>
      <w:r>
        <w:rPr>
          <w:i/>
          <w:iCs/>
          <w:vertAlign w:val="subscript"/>
        </w:rPr>
        <w:t>nmt</w:t>
      </w:r>
      <w:r>
        <w:rPr>
          <w:i/>
          <w:iCs/>
        </w:rPr>
        <w:t xml:space="preserve"> = PD</w:t>
      </w:r>
      <w:r>
        <w:rPr>
          <w:i/>
          <w:iCs/>
          <w:vertAlign w:val="subscript"/>
        </w:rPr>
        <w:t>nmt</w:t>
      </w:r>
      <w:r>
        <w:rPr>
          <w:i/>
          <w:iCs/>
        </w:rPr>
        <w:t xml:space="preserve"> × PE</w:t>
      </w:r>
      <w:r>
        <w:rPr>
          <w:i/>
          <w:iCs/>
          <w:vertAlign w:val="subscript"/>
        </w:rPr>
        <w:t>n</w:t>
      </w:r>
      <w:r w:rsidR="00466B2F">
        <w:t xml:space="preserve"> (39</w:t>
      </w:r>
      <w:r>
        <w:t>)</w:t>
      </w:r>
    </w:p>
    <w:p w:rsidR="001C5006" w:rsidRDefault="00A92D31">
      <w:pPr>
        <w:pStyle w:val="NormalWeb"/>
      </w:pPr>
      <w:r>
        <w:t> </w:t>
      </w:r>
    </w:p>
    <w:p w:rsidR="001C5006" w:rsidRDefault="00A92D31">
      <w:pPr>
        <w:pStyle w:val="NormalWeb"/>
      </w:pPr>
      <w:r>
        <w:t>3) pentru re</w:t>
      </w:r>
      <w:r w:rsidR="00782F78">
        <w:t>ț</w:t>
      </w:r>
      <w:r>
        <w:t>elele electrice de distribu</w:t>
      </w:r>
      <w:r w:rsidR="00782F78">
        <w:t>ț</w:t>
      </w:r>
      <w:r>
        <w:t>ie de tensiune joasă:</w:t>
      </w:r>
    </w:p>
    <w:p w:rsidR="001C5006" w:rsidRDefault="00A92D31">
      <w:pPr>
        <w:pStyle w:val="NormalWeb"/>
      </w:pPr>
      <w:r>
        <w:lastRenderedPageBreak/>
        <w:t> </w:t>
      </w:r>
    </w:p>
    <w:p w:rsidR="001C5006" w:rsidRDefault="00A92D31">
      <w:pPr>
        <w:pStyle w:val="cn"/>
      </w:pPr>
      <w:r>
        <w:rPr>
          <w:i/>
          <w:iCs/>
        </w:rPr>
        <w:t>CPD</w:t>
      </w:r>
      <w:r>
        <w:rPr>
          <w:i/>
          <w:iCs/>
          <w:vertAlign w:val="subscript"/>
        </w:rPr>
        <w:t>njt</w:t>
      </w:r>
      <w:r>
        <w:rPr>
          <w:i/>
          <w:iCs/>
        </w:rPr>
        <w:t xml:space="preserve"> = PD</w:t>
      </w:r>
      <w:r>
        <w:rPr>
          <w:i/>
          <w:iCs/>
          <w:vertAlign w:val="subscript"/>
        </w:rPr>
        <w:t>njt</w:t>
      </w:r>
      <w:r>
        <w:rPr>
          <w:i/>
          <w:iCs/>
        </w:rPr>
        <w:t xml:space="preserve"> × PE</w:t>
      </w:r>
      <w:r>
        <w:rPr>
          <w:i/>
          <w:iCs/>
          <w:vertAlign w:val="subscript"/>
        </w:rPr>
        <w:t>n</w:t>
      </w:r>
      <w:r>
        <w:t xml:space="preserve"> (4</w:t>
      </w:r>
      <w:r w:rsidR="00466B2F">
        <w:t>0</w:t>
      </w:r>
      <w:r>
        <w:t>)</w:t>
      </w:r>
    </w:p>
    <w:p w:rsidR="001C5006" w:rsidRDefault="00A92D31">
      <w:pPr>
        <w:pStyle w:val="NormalWeb"/>
      </w:pPr>
      <w:r>
        <w:t> </w:t>
      </w:r>
    </w:p>
    <w:p w:rsidR="001C5006" w:rsidRDefault="00A92D31">
      <w:pPr>
        <w:pStyle w:val="NormalWeb"/>
      </w:pPr>
      <w:r>
        <w:t xml:space="preserve">unde: </w:t>
      </w:r>
    </w:p>
    <w:p w:rsidR="001C5006" w:rsidRDefault="00A92D31">
      <w:pPr>
        <w:pStyle w:val="NormalWeb"/>
      </w:pPr>
      <w:r>
        <w:rPr>
          <w:i/>
          <w:iCs/>
        </w:rPr>
        <w:t>CPD</w:t>
      </w:r>
      <w:r>
        <w:rPr>
          <w:i/>
          <w:iCs/>
          <w:vertAlign w:val="subscript"/>
        </w:rPr>
        <w:t>n</w:t>
      </w:r>
      <w:r w:rsidR="00685F03">
        <w:rPr>
          <w:i/>
          <w:iCs/>
          <w:vertAlign w:val="subscript"/>
        </w:rPr>
        <w:t>î</w:t>
      </w:r>
      <w:r>
        <w:rPr>
          <w:i/>
          <w:iCs/>
          <w:vertAlign w:val="subscript"/>
        </w:rPr>
        <w:t>t</w:t>
      </w:r>
      <w:r>
        <w:rPr>
          <w:i/>
          <w:iCs/>
        </w:rPr>
        <w:t>; CPD</w:t>
      </w:r>
      <w:r>
        <w:rPr>
          <w:i/>
          <w:iCs/>
          <w:vertAlign w:val="subscript"/>
        </w:rPr>
        <w:t>nmt</w:t>
      </w:r>
      <w:r>
        <w:rPr>
          <w:i/>
          <w:iCs/>
        </w:rPr>
        <w:t>; CPD</w:t>
      </w:r>
      <w:r>
        <w:rPr>
          <w:i/>
          <w:iCs/>
          <w:vertAlign w:val="subscript"/>
        </w:rPr>
        <w:t>njt</w:t>
      </w:r>
      <w:r>
        <w:t xml:space="preserve"> – costul consumului tehnologic </w:t>
      </w:r>
      <w:r w:rsidR="00782F78">
        <w:t>ș</w:t>
      </w:r>
      <w:r>
        <w:t>i al pierderilor de energie electrică în re</w:t>
      </w:r>
      <w:r w:rsidR="00782F78">
        <w:t>ț</w:t>
      </w:r>
      <w:r>
        <w:t>elele electrice de distribu</w:t>
      </w:r>
      <w:r w:rsidR="00782F78">
        <w:t>ț</w:t>
      </w:r>
      <w:r>
        <w:t xml:space="preserve">ie de înaltă, de medie </w:t>
      </w:r>
      <w:r w:rsidR="00782F78">
        <w:t>ș</w:t>
      </w:r>
      <w:r>
        <w:t>i de joasă tensiune;</w:t>
      </w:r>
    </w:p>
    <w:p w:rsidR="00044BF7" w:rsidRDefault="00A92D31" w:rsidP="00044BF7">
      <w:pPr>
        <w:pStyle w:val="NormalWeb"/>
      </w:pPr>
      <w:r>
        <w:rPr>
          <w:i/>
          <w:iCs/>
        </w:rPr>
        <w:t>PE</w:t>
      </w:r>
      <w:r>
        <w:rPr>
          <w:i/>
          <w:iCs/>
          <w:vertAlign w:val="subscript"/>
        </w:rPr>
        <w:t>n</w:t>
      </w:r>
      <w:r>
        <w:rPr>
          <w:i/>
          <w:iCs/>
        </w:rPr>
        <w:t xml:space="preserve"> – </w:t>
      </w:r>
      <w:r>
        <w:t>pre</w:t>
      </w:r>
      <w:r w:rsidR="00782F78">
        <w:t>ț</w:t>
      </w:r>
      <w:r>
        <w:t xml:space="preserve">ul mediu de procurare în anul “n” de către OSD a energiei electrice destinate acoperirii consumului tehnologic </w:t>
      </w:r>
      <w:r w:rsidR="00782F78">
        <w:t>ș</w:t>
      </w:r>
      <w:r>
        <w:t>i a pierderilor de energie electrică în re</w:t>
      </w:r>
      <w:r w:rsidR="00782F78">
        <w:t>ț</w:t>
      </w:r>
      <w:r>
        <w:t>elele electrice de distribu</w:t>
      </w:r>
      <w:r w:rsidR="00782F78">
        <w:t>ț</w:t>
      </w:r>
      <w:r>
        <w:t>ie. Pre</w:t>
      </w:r>
      <w:r w:rsidR="00782F78">
        <w:t>ț</w:t>
      </w:r>
      <w:r>
        <w:t>ul mediu de procurare a energiei electrice se determină la barele de intrare în re</w:t>
      </w:r>
      <w:r w:rsidR="00782F78">
        <w:t>ț</w:t>
      </w:r>
      <w:r>
        <w:t>elele electrice de distribu</w:t>
      </w:r>
      <w:r w:rsidR="00782F78">
        <w:t>ț</w:t>
      </w:r>
      <w:r>
        <w:t>ie, reie</w:t>
      </w:r>
      <w:r w:rsidR="00782F78">
        <w:t>ș</w:t>
      </w:r>
      <w:r>
        <w:t>ind din: pre</w:t>
      </w:r>
      <w:r w:rsidR="00782F78">
        <w:t>ț</w:t>
      </w:r>
      <w:r>
        <w:t xml:space="preserve">urile de procurare a energiei electrice de la producătorii locali sau din import, după caz, </w:t>
      </w:r>
      <w:r w:rsidR="00782F78">
        <w:t>ș</w:t>
      </w:r>
      <w:r>
        <w:t>i tariful pentru serviciul de transport al energiei electrice</w:t>
      </w:r>
      <w:r w:rsidR="002131EF">
        <w:t>;</w:t>
      </w:r>
    </w:p>
    <w:p w:rsidR="001C5006" w:rsidRDefault="00A92D31" w:rsidP="002131EF">
      <w:pPr>
        <w:pStyle w:val="NormalWeb"/>
        <w:spacing w:after="120"/>
      </w:pPr>
      <w:r>
        <w:rPr>
          <w:i/>
          <w:iCs/>
        </w:rPr>
        <w:t>PD</w:t>
      </w:r>
      <w:r>
        <w:rPr>
          <w:i/>
          <w:iCs/>
          <w:vertAlign w:val="subscript"/>
        </w:rPr>
        <w:t>n</w:t>
      </w:r>
      <w:r w:rsidR="00685F03">
        <w:rPr>
          <w:i/>
          <w:iCs/>
          <w:vertAlign w:val="subscript"/>
        </w:rPr>
        <w:t>î</w:t>
      </w:r>
      <w:r>
        <w:rPr>
          <w:i/>
          <w:iCs/>
          <w:vertAlign w:val="subscript"/>
        </w:rPr>
        <w:t>t</w:t>
      </w:r>
      <w:r>
        <w:rPr>
          <w:i/>
          <w:iCs/>
        </w:rPr>
        <w:t>; PD</w:t>
      </w:r>
      <w:r>
        <w:rPr>
          <w:i/>
          <w:iCs/>
          <w:vertAlign w:val="subscript"/>
        </w:rPr>
        <w:t>mt</w:t>
      </w:r>
      <w:r>
        <w:rPr>
          <w:i/>
          <w:iCs/>
        </w:rPr>
        <w:t>; PD</w:t>
      </w:r>
      <w:r>
        <w:rPr>
          <w:i/>
          <w:iCs/>
          <w:vertAlign w:val="subscript"/>
        </w:rPr>
        <w:t>njt</w:t>
      </w:r>
      <w:r>
        <w:t xml:space="preserve"> – consumul tehnologic </w:t>
      </w:r>
      <w:r w:rsidR="00782F78">
        <w:t>ș</w:t>
      </w:r>
      <w:r>
        <w:t>i pierderile medii anuale de energie electrică, admise, în scopuri tarifare, în re</w:t>
      </w:r>
      <w:r w:rsidR="00782F78">
        <w:t>ț</w:t>
      </w:r>
      <w:r>
        <w:t>elele electrice de distribu</w:t>
      </w:r>
      <w:r w:rsidR="00782F78">
        <w:t>ț</w:t>
      </w:r>
      <w:r>
        <w:t xml:space="preserve">ie de înaltă, de medie </w:t>
      </w:r>
      <w:r w:rsidR="00782F78">
        <w:t>ș</w:t>
      </w:r>
      <w:r>
        <w:t>i de jo</w:t>
      </w:r>
      <w:r w:rsidR="002131EF">
        <w:t>asă tensiune, exprimate în kWh.</w:t>
      </w:r>
    </w:p>
    <w:p w:rsidR="001C5006" w:rsidRDefault="002852C1">
      <w:pPr>
        <w:pStyle w:val="NormalWeb"/>
      </w:pPr>
      <w:r>
        <w:rPr>
          <w:b/>
          <w:bCs/>
        </w:rPr>
        <w:t>2</w:t>
      </w:r>
      <w:r w:rsidRPr="00AA0E26">
        <w:rPr>
          <w:b/>
          <w:bCs/>
        </w:rPr>
        <w:t>6</w:t>
      </w:r>
      <w:r w:rsidR="00A92D31">
        <w:rPr>
          <w:b/>
          <w:bCs/>
        </w:rPr>
        <w:t>.</w:t>
      </w:r>
      <w:r w:rsidR="00A92D31">
        <w:t xml:space="preserve"> Consumul tehnologic </w:t>
      </w:r>
      <w:r w:rsidR="00782F78">
        <w:t>ș</w:t>
      </w:r>
      <w:r w:rsidR="00A92D31">
        <w:t>i pierderile tehnice de energie electrică în re</w:t>
      </w:r>
      <w:r w:rsidR="00782F78">
        <w:t>ț</w:t>
      </w:r>
      <w:r w:rsidR="00A92D31">
        <w:t>elele electrice de distribu</w:t>
      </w:r>
      <w:r w:rsidR="00782F78">
        <w:t>ț</w:t>
      </w:r>
      <w:r w:rsidR="00A92D31">
        <w:t>ie se determină de OSD în conformitate cu prevederile Instruc</w:t>
      </w:r>
      <w:r w:rsidR="00782F78">
        <w:t>ț</w:t>
      </w:r>
      <w:r w:rsidR="00A92D31">
        <w:t>iunii pentru calcularea consumului tehnologic în re</w:t>
      </w:r>
      <w:r w:rsidR="00782F78">
        <w:t>ț</w:t>
      </w:r>
      <w:r w:rsidR="00A92D31">
        <w:t xml:space="preserve">elele electrice, aprobată </w:t>
      </w:r>
      <w:r w:rsidR="00A92D31" w:rsidRPr="002131EF">
        <w:t xml:space="preserve">prin </w:t>
      </w:r>
      <w:hyperlink r:id="rId8" w:history="1">
        <w:r w:rsidR="00A92D31" w:rsidRPr="002131EF">
          <w:rPr>
            <w:rStyle w:val="Hyperlink"/>
            <w:color w:val="auto"/>
            <w:u w:val="none"/>
          </w:rPr>
          <w:t>Hotăr</w:t>
        </w:r>
        <w:r w:rsidR="002131EF" w:rsidRPr="002131EF">
          <w:rPr>
            <w:rStyle w:val="Hyperlink"/>
            <w:color w:val="auto"/>
            <w:u w:val="none"/>
          </w:rPr>
          <w:t>â</w:t>
        </w:r>
        <w:r w:rsidR="00A92D31" w:rsidRPr="002131EF">
          <w:rPr>
            <w:rStyle w:val="Hyperlink"/>
            <w:color w:val="auto"/>
            <w:u w:val="none"/>
          </w:rPr>
          <w:t xml:space="preserve">rea </w:t>
        </w:r>
        <w:r w:rsidR="00EB553F">
          <w:t>Agenției</w:t>
        </w:r>
        <w:r w:rsidR="00A92D31" w:rsidRPr="002131EF">
          <w:rPr>
            <w:rStyle w:val="Hyperlink"/>
            <w:color w:val="auto"/>
            <w:u w:val="none"/>
          </w:rPr>
          <w:t xml:space="preserve"> nr.190 din 30</w:t>
        </w:r>
        <w:r w:rsidR="008D7AF4">
          <w:rPr>
            <w:rStyle w:val="Hyperlink"/>
            <w:color w:val="auto"/>
            <w:u w:val="none"/>
          </w:rPr>
          <w:t xml:space="preserve">august </w:t>
        </w:r>
        <w:r w:rsidR="00A92D31" w:rsidRPr="002131EF">
          <w:rPr>
            <w:rStyle w:val="Hyperlink"/>
            <w:color w:val="auto"/>
            <w:u w:val="none"/>
          </w:rPr>
          <w:t>2005</w:t>
        </w:r>
      </w:hyperlink>
      <w:r w:rsidR="00A92D31" w:rsidRPr="002131EF">
        <w:t xml:space="preserve">, integral </w:t>
      </w:r>
      <w:r w:rsidR="00782F78" w:rsidRPr="002131EF">
        <w:t>ș</w:t>
      </w:r>
      <w:r w:rsidR="00A92D31" w:rsidRPr="002131EF">
        <w:t>i pentru fiecare tip de re</w:t>
      </w:r>
      <w:r w:rsidR="00782F78" w:rsidRPr="002131EF">
        <w:t>ț</w:t>
      </w:r>
      <w:r w:rsidR="00A92D31" w:rsidRPr="002131EF">
        <w:t>ea, în parte, conform rezultatelor</w:t>
      </w:r>
      <w:r w:rsidR="00A92D31">
        <w:t xml:space="preserve"> anului 2017, </w:t>
      </w:r>
      <w:r w:rsidR="00782F78">
        <w:t>ș</w:t>
      </w:r>
      <w:r w:rsidR="00A92D31">
        <w:t xml:space="preserve">i se aprobă de </w:t>
      </w:r>
      <w:r w:rsidR="00EB553F">
        <w:t>Agenție</w:t>
      </w:r>
      <w:r w:rsidR="00A92D31">
        <w:t xml:space="preserve"> în valori procentuale la cantitatea de energie electrică intrată în re</w:t>
      </w:r>
      <w:r w:rsidR="00782F78">
        <w:t>ț</w:t>
      </w:r>
      <w:r w:rsidR="00A92D31">
        <w:t>elele electrice de distribu</w:t>
      </w:r>
      <w:r w:rsidR="00782F78">
        <w:t>ț</w:t>
      </w:r>
      <w:r w:rsidR="00A92D31">
        <w:t xml:space="preserve">ie, constante pe toată perioada de </w:t>
      </w:r>
      <w:r w:rsidR="002D213A">
        <w:t xml:space="preserve">aplicare </w:t>
      </w:r>
      <w:r w:rsidR="00A92D31">
        <w:t xml:space="preserve">a Metodologiei. Consumurile tehnologice </w:t>
      </w:r>
      <w:r w:rsidR="00782F78">
        <w:t>ș</w:t>
      </w:r>
      <w:r w:rsidR="00A92D31">
        <w:t>i pierderile de energie electrică în kWh, calculate integral în re</w:t>
      </w:r>
      <w:r w:rsidR="00782F78">
        <w:t>ț</w:t>
      </w:r>
      <w:r w:rsidR="00A92D31">
        <w:t>elele electrice de distribu</w:t>
      </w:r>
      <w:r w:rsidR="00782F78">
        <w:t>ț</w:t>
      </w:r>
      <w:r w:rsidR="00A92D31">
        <w:t>ie, trebuie să fie egale cu suma acestor pierderi calculate separat pentru re</w:t>
      </w:r>
      <w:r w:rsidR="00782F78">
        <w:t>ț</w:t>
      </w:r>
      <w:r w:rsidR="00A92D31">
        <w:t>elele electrice de distribu</w:t>
      </w:r>
      <w:r w:rsidR="00782F78">
        <w:t>ț</w:t>
      </w:r>
      <w:r w:rsidR="00A92D31">
        <w:t xml:space="preserve">ie de înaltă, de medie </w:t>
      </w:r>
      <w:r w:rsidR="00782F78">
        <w:t>ș</w:t>
      </w:r>
      <w:r w:rsidR="00A92D31">
        <w:t>i de joasă tensiune:</w:t>
      </w:r>
    </w:p>
    <w:p w:rsidR="001C5006" w:rsidRDefault="00A92D31">
      <w:pPr>
        <w:pStyle w:val="NormalWeb"/>
      </w:pPr>
      <w:r>
        <w:t> </w:t>
      </w:r>
    </w:p>
    <w:p w:rsidR="001C5006" w:rsidRDefault="00A92D31">
      <w:pPr>
        <w:pStyle w:val="cn"/>
      </w:pPr>
      <w:r>
        <w:rPr>
          <w:i/>
          <w:iCs/>
        </w:rPr>
        <w:t>PD</w:t>
      </w:r>
      <w:r>
        <w:rPr>
          <w:i/>
          <w:iCs/>
          <w:vertAlign w:val="subscript"/>
        </w:rPr>
        <w:t>nt</w:t>
      </w:r>
      <w:r>
        <w:rPr>
          <w:i/>
          <w:iCs/>
        </w:rPr>
        <w:t xml:space="preserve"> = PD</w:t>
      </w:r>
      <w:r>
        <w:rPr>
          <w:i/>
          <w:iCs/>
          <w:vertAlign w:val="subscript"/>
        </w:rPr>
        <w:t>n</w:t>
      </w:r>
      <w:r w:rsidR="00685F03">
        <w:rPr>
          <w:i/>
          <w:iCs/>
          <w:vertAlign w:val="subscript"/>
        </w:rPr>
        <w:t>î</w:t>
      </w:r>
      <w:r>
        <w:rPr>
          <w:i/>
          <w:iCs/>
          <w:vertAlign w:val="subscript"/>
        </w:rPr>
        <w:t>t</w:t>
      </w:r>
      <w:r>
        <w:rPr>
          <w:i/>
          <w:iCs/>
        </w:rPr>
        <w:t xml:space="preserve"> + PD</w:t>
      </w:r>
      <w:r>
        <w:rPr>
          <w:i/>
          <w:iCs/>
          <w:vertAlign w:val="subscript"/>
        </w:rPr>
        <w:t>nmt</w:t>
      </w:r>
      <w:r>
        <w:rPr>
          <w:i/>
          <w:iCs/>
        </w:rPr>
        <w:t xml:space="preserve"> + PD</w:t>
      </w:r>
      <w:r>
        <w:rPr>
          <w:i/>
          <w:iCs/>
          <w:vertAlign w:val="subscript"/>
        </w:rPr>
        <w:t>njt</w:t>
      </w:r>
      <w:r>
        <w:t xml:space="preserve"> (4</w:t>
      </w:r>
      <w:r w:rsidR="00466B2F">
        <w:t>1</w:t>
      </w:r>
      <w:r>
        <w:t>)</w:t>
      </w:r>
    </w:p>
    <w:p w:rsidR="001C5006" w:rsidRDefault="00A92D31">
      <w:pPr>
        <w:pStyle w:val="NormalWeb"/>
      </w:pPr>
      <w:r>
        <w:t> </w:t>
      </w:r>
    </w:p>
    <w:p w:rsidR="001C5006" w:rsidRDefault="00A92D31">
      <w:pPr>
        <w:pStyle w:val="NormalWeb"/>
      </w:pPr>
      <w:r>
        <w:t>unde:</w:t>
      </w:r>
    </w:p>
    <w:p w:rsidR="001C5006" w:rsidRDefault="00A92D31">
      <w:pPr>
        <w:pStyle w:val="NormalWeb"/>
      </w:pPr>
      <w:r>
        <w:rPr>
          <w:i/>
          <w:iCs/>
        </w:rPr>
        <w:t>PD</w:t>
      </w:r>
      <w:r>
        <w:rPr>
          <w:i/>
          <w:iCs/>
          <w:vertAlign w:val="subscript"/>
        </w:rPr>
        <w:t>nt</w:t>
      </w:r>
      <w:r>
        <w:t xml:space="preserve">– consumul tehnologic </w:t>
      </w:r>
      <w:r w:rsidR="00782F78">
        <w:t>ș</w:t>
      </w:r>
      <w:r>
        <w:t>i pierderile de energie electrică, calculate integral pe toate re</w:t>
      </w:r>
      <w:r w:rsidR="00782F78">
        <w:t>ț</w:t>
      </w:r>
      <w:r>
        <w:t>elele electrice de distribu</w:t>
      </w:r>
      <w:r w:rsidR="00782F78">
        <w:t>ț</w:t>
      </w:r>
      <w:r>
        <w:t>ie.</w:t>
      </w:r>
    </w:p>
    <w:p w:rsidR="001C5006" w:rsidRPr="00B8535E" w:rsidRDefault="00FB4BD4" w:rsidP="002131EF">
      <w:pPr>
        <w:pStyle w:val="NormalWeb"/>
        <w:spacing w:after="120"/>
      </w:pPr>
      <w:r w:rsidRPr="00B8535E">
        <w:t xml:space="preserve">În </w:t>
      </w:r>
      <w:r w:rsidR="00B8535E" w:rsidRPr="005E0C2F">
        <w:t>toate</w:t>
      </w:r>
      <w:r w:rsidRPr="00B8535E">
        <w:t xml:space="preserve"> caz</w:t>
      </w:r>
      <w:r w:rsidR="00B8535E" w:rsidRPr="005E0C2F">
        <w:t>urile</w:t>
      </w:r>
      <w:r w:rsidRPr="00B8535E">
        <w:t>, benefici</w:t>
      </w:r>
      <w:r w:rsidR="000F5696" w:rsidRPr="005E0C2F">
        <w:t>u</w:t>
      </w:r>
      <w:r w:rsidRPr="00B8535E">
        <w:t xml:space="preserve">l rezultat în urma reducerii </w:t>
      </w:r>
      <w:r w:rsidR="00C9727C">
        <w:t>consumului tehnologic și al pierderilor de energie electrică</w:t>
      </w:r>
      <w:r w:rsidRPr="00B8535E">
        <w:t xml:space="preserve"> trebuie împarțit egal </w:t>
      </w:r>
      <w:r w:rsidR="00FF11D9" w:rsidRPr="00B8535E">
        <w:t xml:space="preserve">între </w:t>
      </w:r>
      <w:r w:rsidR="00C9727C">
        <w:t>OSD</w:t>
      </w:r>
      <w:r w:rsidR="00FF11D9" w:rsidRPr="00B8535E">
        <w:t>și consumatori</w:t>
      </w:r>
      <w:r w:rsidR="00C9727C">
        <w:t>i finali</w:t>
      </w:r>
      <w:r w:rsidR="00FF11D9" w:rsidRPr="00B8535E">
        <w:t>.</w:t>
      </w:r>
    </w:p>
    <w:p w:rsidR="001C5006" w:rsidRDefault="00511323">
      <w:pPr>
        <w:pStyle w:val="NormalWeb"/>
      </w:pPr>
      <w:r>
        <w:rPr>
          <w:b/>
          <w:bCs/>
        </w:rPr>
        <w:t>2</w:t>
      </w:r>
      <w:r w:rsidRPr="00AA0E26">
        <w:rPr>
          <w:b/>
          <w:bCs/>
        </w:rPr>
        <w:t>7</w:t>
      </w:r>
      <w:r w:rsidR="00A92D31">
        <w:rPr>
          <w:b/>
          <w:bCs/>
        </w:rPr>
        <w:t>.</w:t>
      </w:r>
      <w:r w:rsidR="00A92D31">
        <w:t xml:space="preserve"> În cheltuielile de distribuire </w:t>
      </w:r>
      <w:r w:rsidR="00782F78">
        <w:t>ș</w:t>
      </w:r>
      <w:r w:rsidR="00A92D31">
        <w:t xml:space="preserve">i administrative ale OSD (CDA) se includ cheltuieli ce </w:t>
      </w:r>
      <w:r w:rsidR="00782F78">
        <w:t>ț</w:t>
      </w:r>
      <w:r w:rsidR="00A92D31">
        <w:t xml:space="preserve">in de: costurile cu personalul administrativ </w:t>
      </w:r>
      <w:r w:rsidR="00782F78">
        <w:t>ș</w:t>
      </w:r>
      <w:r w:rsidR="00A92D31">
        <w:t>i de conducere, costurile materiale, de între</w:t>
      </w:r>
      <w:r w:rsidR="00782F78">
        <w:t>ț</w:t>
      </w:r>
      <w:r w:rsidR="00A92D31">
        <w:t xml:space="preserve">inere </w:t>
      </w:r>
      <w:r w:rsidR="00782F78">
        <w:t>ș</w:t>
      </w:r>
      <w:r w:rsidR="00A92D31">
        <w:t xml:space="preserve">i de exploatare a activelor de uz comercial </w:t>
      </w:r>
      <w:r w:rsidR="00782F78">
        <w:t>ș</w:t>
      </w:r>
      <w:r w:rsidR="00A92D31">
        <w:t>i administrativ, cheltuielile pentru teleradio comunica</w:t>
      </w:r>
      <w:r w:rsidR="00782F78">
        <w:t>ț</w:t>
      </w:r>
      <w:r w:rsidR="00A92D31">
        <w:t>ii cu destina</w:t>
      </w:r>
      <w:r w:rsidR="00782F78">
        <w:t>ț</w:t>
      </w:r>
      <w:r w:rsidR="00A92D31">
        <w:t xml:space="preserve">ie de distribuire </w:t>
      </w:r>
      <w:r w:rsidR="00782F78">
        <w:t>ș</w:t>
      </w:r>
      <w:r w:rsidR="00A92D31">
        <w:t xml:space="preserve">i administrativă, comisioanele achitate băncilor </w:t>
      </w:r>
      <w:r w:rsidR="00782F78">
        <w:t>ș</w:t>
      </w:r>
      <w:r w:rsidR="00A92D31">
        <w:t>i po</w:t>
      </w:r>
      <w:r w:rsidR="00782F78">
        <w:t>ș</w:t>
      </w:r>
      <w:r w:rsidR="00A92D31">
        <w:t xml:space="preserve">tei pentru serviciile prestate, cheltuielile de birotică, de pază </w:t>
      </w:r>
      <w:r w:rsidR="00782F78">
        <w:t>ș</w:t>
      </w:r>
      <w:r w:rsidR="00A92D31">
        <w:t>i de asigurare a securită</w:t>
      </w:r>
      <w:r w:rsidR="00782F78">
        <w:t>ț</w:t>
      </w:r>
      <w:r w:rsidR="00A92D31">
        <w:t>ii, între</w:t>
      </w:r>
      <w:r w:rsidR="00782F78">
        <w:t>ț</w:t>
      </w:r>
      <w:r w:rsidR="00A92D31">
        <w:t xml:space="preserve">inerea transportului auto de serviciu, deplasarea personalului de conducere, cheltuielile legate de pregătirea </w:t>
      </w:r>
      <w:r w:rsidR="00782F78">
        <w:t>ș</w:t>
      </w:r>
      <w:r w:rsidR="00A92D31">
        <w:t>i perfec</w:t>
      </w:r>
      <w:r w:rsidR="00782F78">
        <w:t>ț</w:t>
      </w:r>
      <w:r w:rsidR="00A92D31">
        <w:t xml:space="preserve">ionarea profesională a personalului </w:t>
      </w:r>
      <w:r w:rsidR="00782F78">
        <w:t>ș</w:t>
      </w:r>
      <w:r w:rsidR="00A92D31">
        <w:t xml:space="preserve">i alte cheltuieli necesare </w:t>
      </w:r>
      <w:r w:rsidR="00782F78">
        <w:t>ș</w:t>
      </w:r>
      <w:r w:rsidR="00A92D31">
        <w:t>i justificate pentru desfă</w:t>
      </w:r>
      <w:r w:rsidR="00782F78">
        <w:t>ș</w:t>
      </w:r>
      <w:r w:rsidR="00A92D31">
        <w:t>urarea activită</w:t>
      </w:r>
      <w:r w:rsidR="00782F78">
        <w:t>ț</w:t>
      </w:r>
      <w:r w:rsidR="00A92D31">
        <w:t>ii de distribu</w:t>
      </w:r>
      <w:r w:rsidR="00782F78">
        <w:t>ț</w:t>
      </w:r>
      <w:r w:rsidR="00A92D31">
        <w:t xml:space="preserve">ie a energiei electrice. Aceste cheltuieli se determină de către OSD pentru primul an de </w:t>
      </w:r>
      <w:r w:rsidR="002D213A">
        <w:t xml:space="preserve">aplicare </w:t>
      </w:r>
      <w:r w:rsidR="00A92D31">
        <w:t>a Metodologiei, – anul de bază (CDA</w:t>
      </w:r>
      <w:r w:rsidR="00A92D31">
        <w:rPr>
          <w:vertAlign w:val="subscript"/>
        </w:rPr>
        <w:t>o</w:t>
      </w:r>
      <w:r w:rsidR="00A92D31">
        <w:t xml:space="preserve">), se aprobă de </w:t>
      </w:r>
      <w:r w:rsidR="00EB553F">
        <w:t>Agenție</w:t>
      </w:r>
      <w:r w:rsidR="00A92D31">
        <w:t xml:space="preserve"> pentru toată perioada de </w:t>
      </w:r>
      <w:r w:rsidR="002D213A">
        <w:t xml:space="preserve">aplicare </w:t>
      </w:r>
      <w:r w:rsidR="00A92D31">
        <w:t xml:space="preserve">a Metodologiei, </w:t>
      </w:r>
      <w:r w:rsidR="00782F78">
        <w:t>ș</w:t>
      </w:r>
      <w:r w:rsidR="00A92D31">
        <w:t xml:space="preserve">i în fiecare următor an “n” se actualizează în conformitate cu formula: </w:t>
      </w:r>
    </w:p>
    <w:p w:rsidR="001C5006" w:rsidRDefault="00A92D31">
      <w:pPr>
        <w:pStyle w:val="NormalWeb"/>
      </w:pPr>
      <w:r>
        <w:t> </w:t>
      </w:r>
    </w:p>
    <w:p w:rsidR="001C5006" w:rsidRDefault="00A92D31">
      <w:pPr>
        <w:pStyle w:val="cn"/>
      </w:pPr>
      <w:r>
        <w:rPr>
          <w:i/>
          <w:iCs/>
        </w:rPr>
        <w:t>CDA</w:t>
      </w:r>
      <w:r>
        <w:rPr>
          <w:i/>
          <w:iCs/>
          <w:vertAlign w:val="subscript"/>
        </w:rPr>
        <w:t xml:space="preserve">n </w:t>
      </w:r>
      <w:r>
        <w:rPr>
          <w:i/>
          <w:iCs/>
        </w:rPr>
        <w:t>= CDA</w:t>
      </w:r>
      <w:r>
        <w:rPr>
          <w:i/>
          <w:iCs/>
          <w:vertAlign w:val="subscript"/>
        </w:rPr>
        <w:t>0</w:t>
      </w:r>
      <w:r>
        <w:rPr>
          <w:i/>
          <w:iCs/>
        </w:rPr>
        <w:t xml:space="preserve"> × ∏(1 + IPCM</w:t>
      </w:r>
      <w:r>
        <w:rPr>
          <w:i/>
          <w:iCs/>
          <w:vertAlign w:val="subscript"/>
        </w:rPr>
        <w:t>n</w:t>
      </w:r>
      <w:r>
        <w:rPr>
          <w:i/>
          <w:iCs/>
        </w:rPr>
        <w:t xml:space="preserve"> – X</w:t>
      </w:r>
      <w:r>
        <w:rPr>
          <w:i/>
          <w:iCs/>
          <w:vertAlign w:val="subscript"/>
        </w:rPr>
        <w:t>1</w:t>
      </w:r>
      <w:r>
        <w:rPr>
          <w:i/>
          <w:iCs/>
        </w:rPr>
        <w:t>)</w:t>
      </w:r>
      <w:r>
        <w:t xml:space="preserve"> (4</w:t>
      </w:r>
      <w:r w:rsidR="00466B2F">
        <w:t>2</w:t>
      </w:r>
      <w:r>
        <w:t>)</w:t>
      </w:r>
    </w:p>
    <w:p w:rsidR="001C5006" w:rsidRDefault="00A92D31">
      <w:pPr>
        <w:pStyle w:val="NormalWeb"/>
      </w:pPr>
      <w:r>
        <w:t> </w:t>
      </w:r>
    </w:p>
    <w:p w:rsidR="001C5006" w:rsidRDefault="00511323">
      <w:pPr>
        <w:pStyle w:val="NormalWeb"/>
      </w:pPr>
      <w:r>
        <w:rPr>
          <w:b/>
          <w:bCs/>
        </w:rPr>
        <w:t>2</w:t>
      </w:r>
      <w:r w:rsidRPr="00AA0E26">
        <w:rPr>
          <w:b/>
          <w:bCs/>
        </w:rPr>
        <w:t>8</w:t>
      </w:r>
      <w:r w:rsidR="00A92D31">
        <w:rPr>
          <w:b/>
          <w:bCs/>
        </w:rPr>
        <w:t>.</w:t>
      </w:r>
      <w:r w:rsidR="00A92D31">
        <w:t xml:space="preserve"> Alte cheltuieli de distribu</w:t>
      </w:r>
      <w:r w:rsidR="00782F78">
        <w:t>ț</w:t>
      </w:r>
      <w:r w:rsidR="00A92D31">
        <w:t>ie (AC</w:t>
      </w:r>
      <w:r w:rsidR="00A92D31">
        <w:rPr>
          <w:vertAlign w:val="subscript"/>
        </w:rPr>
        <w:t>n</w:t>
      </w:r>
      <w:r w:rsidR="00A92D31">
        <w:t>) includ aloca</w:t>
      </w:r>
      <w:r w:rsidR="00782F78">
        <w:t>ț</w:t>
      </w:r>
      <w:r w:rsidR="00A92D31">
        <w:t xml:space="preserve">ia aferentă creării </w:t>
      </w:r>
      <w:r w:rsidR="00A92D31" w:rsidRPr="00B66C94">
        <w:t xml:space="preserve">fondului de rulment, </w:t>
      </w:r>
      <w:r w:rsidR="006D6C01" w:rsidRPr="00B66C94">
        <w:t xml:space="preserve">cheltuielile aferente </w:t>
      </w:r>
      <w:r w:rsidR="00A92D31" w:rsidRPr="00B66C94">
        <w:t xml:space="preserve">achitării impozitelor </w:t>
      </w:r>
      <w:r w:rsidR="00782F78" w:rsidRPr="00B66C94">
        <w:t>ș</w:t>
      </w:r>
      <w:r w:rsidR="00A92D31" w:rsidRPr="00B66C94">
        <w:t>i taxelor care conform legisla</w:t>
      </w:r>
      <w:r w:rsidR="00782F78" w:rsidRPr="00B66C94">
        <w:t>ț</w:t>
      </w:r>
      <w:r w:rsidR="00A92D31" w:rsidRPr="00B66C94">
        <w:t>iei se atribuie la cheltuieli. Aceste cheltuieli se determină pentru fiecare an în parte conform formulei:</w:t>
      </w:r>
    </w:p>
    <w:p w:rsidR="001C5006" w:rsidRDefault="00A92D31">
      <w:pPr>
        <w:pStyle w:val="NormalWeb"/>
      </w:pPr>
      <w:r>
        <w:t> </w:t>
      </w:r>
    </w:p>
    <w:p w:rsidR="001C5006" w:rsidRDefault="00A92D31">
      <w:pPr>
        <w:pStyle w:val="cn"/>
      </w:pPr>
      <w:r>
        <w:rPr>
          <w:i/>
          <w:iCs/>
        </w:rPr>
        <w:t>AC</w:t>
      </w:r>
      <w:r>
        <w:rPr>
          <w:i/>
          <w:iCs/>
          <w:vertAlign w:val="subscript"/>
        </w:rPr>
        <w:t>n</w:t>
      </w:r>
      <w:r>
        <w:rPr>
          <w:i/>
          <w:iCs/>
        </w:rPr>
        <w:t xml:space="preserve"> = CFR</w:t>
      </w:r>
      <w:r>
        <w:rPr>
          <w:i/>
          <w:iCs/>
          <w:vertAlign w:val="subscript"/>
        </w:rPr>
        <w:t xml:space="preserve">n </w:t>
      </w:r>
      <w:r>
        <w:rPr>
          <w:i/>
          <w:iCs/>
        </w:rPr>
        <w:t>+ T</w:t>
      </w:r>
      <w:r>
        <w:rPr>
          <w:i/>
          <w:iCs/>
          <w:vertAlign w:val="subscript"/>
        </w:rPr>
        <w:t xml:space="preserve">n </w:t>
      </w:r>
      <w:r w:rsidR="00466B2F">
        <w:t>(43</w:t>
      </w:r>
      <w:r>
        <w:t xml:space="preserve">) </w:t>
      </w:r>
    </w:p>
    <w:p w:rsidR="001C5006" w:rsidRDefault="00A92D31">
      <w:pPr>
        <w:pStyle w:val="NormalWeb"/>
      </w:pPr>
      <w:r>
        <w:t>unde:</w:t>
      </w:r>
    </w:p>
    <w:p w:rsidR="001C5006" w:rsidRPr="006D6C01" w:rsidRDefault="00A92D31">
      <w:pPr>
        <w:pStyle w:val="NormalWeb"/>
      </w:pPr>
      <w:r>
        <w:rPr>
          <w:i/>
          <w:iCs/>
        </w:rPr>
        <w:t>T</w:t>
      </w:r>
      <w:r>
        <w:rPr>
          <w:i/>
          <w:iCs/>
          <w:vertAlign w:val="subscript"/>
        </w:rPr>
        <w:t>n</w:t>
      </w:r>
      <w:r>
        <w:t xml:space="preserve">– impozite, taxe </w:t>
      </w:r>
      <w:r w:rsidR="00782F78">
        <w:t>ș</w:t>
      </w:r>
      <w:r>
        <w:t>i alte plă</w:t>
      </w:r>
      <w:r w:rsidR="00782F78">
        <w:t>ț</w:t>
      </w:r>
      <w:r>
        <w:t xml:space="preserve">i justificate </w:t>
      </w:r>
      <w:r w:rsidR="00782F78">
        <w:t>ș</w:t>
      </w:r>
      <w:r>
        <w:t>i necesare de a fi achitate în anul “n”, care conform legisla</w:t>
      </w:r>
      <w:r w:rsidR="00782F78">
        <w:t>ț</w:t>
      </w:r>
      <w:r>
        <w:t>iei se atribuie la cheltuieli;</w:t>
      </w:r>
    </w:p>
    <w:p w:rsidR="001C5006" w:rsidRDefault="00A92D31">
      <w:pPr>
        <w:pStyle w:val="NormalWeb"/>
      </w:pPr>
      <w:r>
        <w:rPr>
          <w:i/>
          <w:iCs/>
        </w:rPr>
        <w:lastRenderedPageBreak/>
        <w:t>CFR</w:t>
      </w:r>
      <w:r>
        <w:rPr>
          <w:i/>
          <w:iCs/>
          <w:vertAlign w:val="subscript"/>
        </w:rPr>
        <w:t>n</w:t>
      </w:r>
      <w:r>
        <w:t>– aloca</w:t>
      </w:r>
      <w:r w:rsidR="00782F78">
        <w:t>ț</w:t>
      </w:r>
      <w:r>
        <w:t>ia aferentă fondului de rulment în anul “n”, care se determină conform formulei:</w:t>
      </w:r>
    </w:p>
    <w:p w:rsidR="001C5006" w:rsidRDefault="00A92D31">
      <w:pPr>
        <w:pStyle w:val="NormalWeb"/>
      </w:pPr>
      <w:r>
        <w:t> </w:t>
      </w:r>
    </w:p>
    <w:p w:rsidR="001C5006" w:rsidRDefault="00A726DA">
      <w:pPr>
        <w:pStyle w:val="cn"/>
      </w:pPr>
      <m:oMathPara>
        <m:oMath>
          <m:sSub>
            <m:sSubPr>
              <m:ctrlPr>
                <w:rPr>
                  <w:rFonts w:ascii="Cambria Math" w:hAnsi="Cambria Math"/>
                  <w:i/>
                </w:rPr>
              </m:ctrlPr>
            </m:sSubPr>
            <m:e>
              <m:r>
                <w:rPr>
                  <w:rFonts w:ascii="Cambria Math" w:hAnsi="Cambria Math"/>
                </w:rPr>
                <m:t>CFR</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365</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CDD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CDA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AAD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rn</m:t>
              </m:r>
            </m:sub>
          </m:sSub>
          <m:r>
            <w:rPr>
              <w:rFonts w:ascii="Cambria Math" w:hAnsi="Cambria Math"/>
            </w:rPr>
            <m:t xml:space="preserve">       (44)</m:t>
          </m:r>
        </m:oMath>
      </m:oMathPara>
    </w:p>
    <w:p w:rsidR="001C5006" w:rsidRDefault="00A92D31">
      <w:pPr>
        <w:pStyle w:val="NormalWeb"/>
      </w:pPr>
      <w:r>
        <w:t> </w:t>
      </w:r>
    </w:p>
    <w:p w:rsidR="001C5006" w:rsidRDefault="00A92D31">
      <w:pPr>
        <w:pStyle w:val="NormalWeb"/>
      </w:pPr>
      <w:r>
        <w:t>unde:</w:t>
      </w:r>
    </w:p>
    <w:p w:rsidR="001C5006" w:rsidRDefault="00A92D31">
      <w:pPr>
        <w:pStyle w:val="NormalWeb"/>
      </w:pPr>
      <w:r>
        <w:t>α – necesitatea în fond de rulment, exprimat în zile de facturări anuale. Prin Metodologie se stabile</w:t>
      </w:r>
      <w:r w:rsidR="00782F78">
        <w:t>ș</w:t>
      </w:r>
      <w:r>
        <w:t>te α = 10 zile, determinată în baza regimului de achitare de către furnizori a serviciului de distribu</w:t>
      </w:r>
      <w:r w:rsidR="00782F78">
        <w:t>ț</w:t>
      </w:r>
      <w:r>
        <w:t xml:space="preserve">ie a energiei electrice, conform actelor normative în vigoare </w:t>
      </w:r>
      <w:r w:rsidR="00782F78">
        <w:t>ș</w:t>
      </w:r>
      <w:r>
        <w:t>i a regimului de plă</w:t>
      </w:r>
      <w:r w:rsidR="00782F78">
        <w:t>ț</w:t>
      </w:r>
      <w:r>
        <w:t>i pentru necesită</w:t>
      </w:r>
      <w:r w:rsidR="00782F78">
        <w:t>ț</w:t>
      </w:r>
      <w:r>
        <w:t>ile OSD (procurări de materiale, achitări de servicii, alte plă</w:t>
      </w:r>
      <w:r w:rsidR="00782F78">
        <w:t>ț</w:t>
      </w:r>
      <w:r>
        <w:t>i);</w:t>
      </w:r>
    </w:p>
    <w:p w:rsidR="001C5006" w:rsidRDefault="00A92D31">
      <w:pPr>
        <w:pStyle w:val="NormalWeb"/>
      </w:pPr>
      <w:r>
        <w:rPr>
          <w:i/>
          <w:iCs/>
        </w:rPr>
        <w:t>R</w:t>
      </w:r>
      <w:r>
        <w:rPr>
          <w:i/>
          <w:iCs/>
          <w:vertAlign w:val="subscript"/>
        </w:rPr>
        <w:t>rn</w:t>
      </w:r>
      <w:r>
        <w:rPr>
          <w:i/>
          <w:iCs/>
        </w:rPr>
        <w:t xml:space="preserve"> – </w:t>
      </w:r>
      <w:r>
        <w:t>rata de rentabilitate în anul “n” a activelor, determinată în conformitate cu prevederile din Sec</w:t>
      </w:r>
      <w:r w:rsidR="00782F78">
        <w:t>ț</w:t>
      </w:r>
      <w:r>
        <w:t>iunea 6 din Metodologie.</w:t>
      </w:r>
    </w:p>
    <w:p w:rsidR="001C5006" w:rsidRDefault="00A92D31">
      <w:pPr>
        <w:pStyle w:val="NormalWeb"/>
      </w:pPr>
      <w:r>
        <w:t>În cazul când OSD nu vor utiliza integral aloca</w:t>
      </w:r>
      <w:r w:rsidR="00782F78">
        <w:t>ț</w:t>
      </w:r>
      <w:r>
        <w:t xml:space="preserve">ia aferentă fondului de rulment pentru plata dobânzilor la creditele contractate pe termen scurt, </w:t>
      </w:r>
      <w:r w:rsidR="00EB553F">
        <w:t>Agenția</w:t>
      </w:r>
      <w:r>
        <w:t>, la actualizarea tarifelor pentru serviciul de distribu</w:t>
      </w:r>
      <w:r w:rsidR="00782F78">
        <w:t>ț</w:t>
      </w:r>
      <w:r>
        <w:t xml:space="preserve">ie a energiei electrice, </w:t>
      </w:r>
      <w:r w:rsidR="00FF11D9">
        <w:t xml:space="preserve">poate </w:t>
      </w:r>
      <w:r>
        <w:t xml:space="preserve">diminua valoarea venitului reglementat </w:t>
      </w:r>
      <w:r w:rsidR="00FF11D9">
        <w:t xml:space="preserve">pentru tariful anului următor </w:t>
      </w:r>
      <w:r>
        <w:t>cu cuantumul aloca</w:t>
      </w:r>
      <w:r w:rsidR="00782F78">
        <w:t>ț</w:t>
      </w:r>
      <w:r>
        <w:t>iei utilizate în alte scopuri.</w:t>
      </w:r>
    </w:p>
    <w:p w:rsidR="001C5006" w:rsidRDefault="00A92D31">
      <w:pPr>
        <w:pStyle w:val="NormalWeb"/>
      </w:pPr>
      <w:r>
        <w:t> </w:t>
      </w:r>
    </w:p>
    <w:p w:rsidR="001C5006" w:rsidRDefault="00A92D31">
      <w:pPr>
        <w:pStyle w:val="cp"/>
      </w:pPr>
      <w:r>
        <w:t>Sec</w:t>
      </w:r>
      <w:r w:rsidR="00782F78">
        <w:t>ț</w:t>
      </w:r>
      <w:r>
        <w:t>iunea 6</w:t>
      </w:r>
    </w:p>
    <w:p w:rsidR="001C5006" w:rsidRDefault="00A92D31" w:rsidP="006D6C01">
      <w:pPr>
        <w:pStyle w:val="cp"/>
        <w:spacing w:after="120"/>
      </w:pPr>
      <w:r>
        <w:t>DETERMINAREA RENTABILITĂ</w:t>
      </w:r>
      <w:r w:rsidR="00782F78">
        <w:t>Ț</w:t>
      </w:r>
      <w:r>
        <w:t>II</w:t>
      </w:r>
    </w:p>
    <w:p w:rsidR="008F5058" w:rsidRDefault="00511323">
      <w:pPr>
        <w:pStyle w:val="NormalWeb"/>
      </w:pPr>
      <w:r w:rsidRPr="00AA0E26">
        <w:rPr>
          <w:b/>
          <w:bCs/>
        </w:rPr>
        <w:t>29</w:t>
      </w:r>
      <w:r w:rsidR="00A92D31">
        <w:rPr>
          <w:b/>
          <w:bCs/>
        </w:rPr>
        <w:t>.</w:t>
      </w:r>
      <w:r w:rsidR="00CB75FA">
        <w:t>R</w:t>
      </w:r>
      <w:r w:rsidR="00A92D31">
        <w:t>entabilitatea OSD în fiecare an “n” se determină reie</w:t>
      </w:r>
      <w:r w:rsidR="00782F78">
        <w:t>ș</w:t>
      </w:r>
      <w:r w:rsidR="00A92D31">
        <w:t xml:space="preserve">ind din valoarea neta a mijloacelor fixe </w:t>
      </w:r>
      <w:r w:rsidR="00782F78">
        <w:t>ș</w:t>
      </w:r>
      <w:r w:rsidR="00A92D31">
        <w:t>i a imobilizărilor necorporale aferente activită</w:t>
      </w:r>
      <w:r w:rsidR="00782F78">
        <w:t>ț</w:t>
      </w:r>
      <w:r w:rsidR="00A92D31">
        <w:t>ii de distribu</w:t>
      </w:r>
      <w:r w:rsidR="00782F78">
        <w:t>ț</w:t>
      </w:r>
      <w:r w:rsidR="00A92D31">
        <w:t xml:space="preserve">ie a energiei electrice </w:t>
      </w:r>
      <w:r w:rsidR="00782F78">
        <w:t>ș</w:t>
      </w:r>
      <w:r w:rsidR="00A92D31">
        <w:t>i reie</w:t>
      </w:r>
      <w:r w:rsidR="00782F78">
        <w:t>ș</w:t>
      </w:r>
      <w:r w:rsidR="00A92D31">
        <w:t>ind din rata de rentabilitate a imobilizărilor, conform formulei:</w:t>
      </w:r>
    </w:p>
    <w:p w:rsidR="008F5058" w:rsidRDefault="008F5058" w:rsidP="008F5058">
      <w:pPr>
        <w:pStyle w:val="NormalWeb"/>
      </w:pPr>
      <w:r>
        <w:t xml:space="preserve">1) pentru </w:t>
      </w:r>
      <w:r w:rsidR="00821C5D">
        <w:t xml:space="preserve">OSD </w:t>
      </w:r>
      <w:r>
        <w:t>cu capital străin:</w:t>
      </w:r>
    </w:p>
    <w:p w:rsidR="008F5058" w:rsidRDefault="008F5058" w:rsidP="008F5058">
      <w:pPr>
        <w:pStyle w:val="NormalWeb"/>
      </w:pPr>
      <w:r>
        <w:t> </w:t>
      </w:r>
    </w:p>
    <w:p w:rsidR="008F5058" w:rsidRDefault="008F5058" w:rsidP="008F5058">
      <w:pPr>
        <w:pStyle w:val="cn"/>
      </w:pPr>
      <w:r>
        <w:rPr>
          <w:i/>
          <w:iCs/>
        </w:rPr>
        <w:t>RA</w:t>
      </w:r>
      <w:r>
        <w:rPr>
          <w:i/>
          <w:iCs/>
          <w:vertAlign w:val="subscript"/>
        </w:rPr>
        <w:t>n</w:t>
      </w:r>
      <w:r>
        <w:rPr>
          <w:i/>
          <w:iCs/>
        </w:rPr>
        <w:t xml:space="preserve"> = VNAD</w:t>
      </w:r>
      <w:r>
        <w:rPr>
          <w:i/>
          <w:iCs/>
          <w:vertAlign w:val="subscript"/>
        </w:rPr>
        <w:t>in</w:t>
      </w:r>
      <w:r>
        <w:rPr>
          <w:i/>
          <w:iCs/>
        </w:rPr>
        <w:t xml:space="preserve"> × R</w:t>
      </w:r>
      <w:r>
        <w:rPr>
          <w:i/>
          <w:iCs/>
          <w:vertAlign w:val="subscript"/>
        </w:rPr>
        <w:t>rn</w:t>
      </w:r>
      <w:r>
        <w:rPr>
          <w:i/>
          <w:iCs/>
        </w:rPr>
        <w:t xml:space="preserve"> × LeiD</w:t>
      </w:r>
      <w:r>
        <w:rPr>
          <w:i/>
          <w:iCs/>
          <w:vertAlign w:val="subscript"/>
        </w:rPr>
        <w:t>n</w:t>
      </w:r>
      <w:r>
        <w:t>(45)</w:t>
      </w:r>
    </w:p>
    <w:p w:rsidR="008F5058" w:rsidRDefault="008F5058" w:rsidP="008F5058">
      <w:pPr>
        <w:pStyle w:val="NormalWeb"/>
      </w:pPr>
      <w:r>
        <w:t> </w:t>
      </w:r>
    </w:p>
    <w:p w:rsidR="008F5058" w:rsidRDefault="008F5058" w:rsidP="008F5058">
      <w:pPr>
        <w:pStyle w:val="NormalWeb"/>
      </w:pPr>
      <w:r>
        <w:t xml:space="preserve">unde: </w:t>
      </w:r>
    </w:p>
    <w:p w:rsidR="008F5058" w:rsidRDefault="008F5058" w:rsidP="008F5058">
      <w:pPr>
        <w:pStyle w:val="NormalWeb"/>
      </w:pPr>
      <w:r>
        <w:rPr>
          <w:i/>
          <w:iCs/>
        </w:rPr>
        <w:t>VNAD</w:t>
      </w:r>
      <w:r>
        <w:rPr>
          <w:i/>
          <w:iCs/>
          <w:vertAlign w:val="subscript"/>
        </w:rPr>
        <w:t>in</w:t>
      </w:r>
      <w:r>
        <w:t xml:space="preserve"> – valoarea netă reglementată în anul “n” a mijloacelor fixe </w:t>
      </w:r>
      <w:r w:rsidR="00782F78">
        <w:t>ș</w:t>
      </w:r>
      <w:r>
        <w:t>i a imobilizărilor n</w:t>
      </w:r>
      <w:r w:rsidR="008E3240">
        <w:t>ecorporale de distribu</w:t>
      </w:r>
      <w:r w:rsidR="00782F78">
        <w:t>ț</w:t>
      </w:r>
      <w:r w:rsidR="008E3240">
        <w:t>ie, transmise</w:t>
      </w:r>
      <w:r>
        <w:t xml:space="preserve"> în exploatare din anul </w:t>
      </w:r>
      <w:r w:rsidR="009B1383">
        <w:t xml:space="preserve">privatizării </w:t>
      </w:r>
      <w:r w:rsidR="00782F78">
        <w:t>ș</w:t>
      </w:r>
      <w:r>
        <w:t>i până la finele anului “n-1”</w:t>
      </w:r>
      <w:r>
        <w:rPr>
          <w:vertAlign w:val="subscript"/>
        </w:rPr>
        <w:t xml:space="preserve">, </w:t>
      </w:r>
      <w:r>
        <w:t>în urma investi</w:t>
      </w:r>
      <w:r w:rsidR="00782F78">
        <w:t>ț</w:t>
      </w:r>
      <w:r>
        <w:t>iilor efectuate în conformitate cu planurile de investi</w:t>
      </w:r>
      <w:r w:rsidR="00782F78">
        <w:t>ț</w:t>
      </w:r>
      <w:r>
        <w:t xml:space="preserve">ii aprobate de </w:t>
      </w:r>
      <w:r w:rsidR="00EB553F">
        <w:t>Agenție</w:t>
      </w:r>
      <w:r w:rsidR="00782F78">
        <w:t>ș</w:t>
      </w:r>
      <w:r>
        <w:t>i luate în calcul în scopuri tarifare în această perioadă. Valoarea netă a imobilizărilor se determină ca diferen</w:t>
      </w:r>
      <w:r w:rsidR="00782F78">
        <w:t>ț</w:t>
      </w:r>
      <w:r>
        <w:t xml:space="preserve">ă dintre costul de intrare a imobilizărilor, </w:t>
      </w:r>
      <w:r w:rsidR="008E3240">
        <w:t>transmise</w:t>
      </w:r>
      <w:r>
        <w:t xml:space="preserve"> în exploatare în perioada vizată în strictă conformitate cu planurile de investi</w:t>
      </w:r>
      <w:r w:rsidR="00782F78">
        <w:t>ț</w:t>
      </w:r>
      <w:r>
        <w:t xml:space="preserve">ii aprobate de </w:t>
      </w:r>
      <w:r w:rsidR="009773BE">
        <w:t>Agenție</w:t>
      </w:r>
      <w:r w:rsidR="00782F78">
        <w:t>ș</w:t>
      </w:r>
      <w:r>
        <w:t>i amortizarea acestor imobilizări, acumulată în această perioadă,conform formulei:</w:t>
      </w:r>
    </w:p>
    <w:p w:rsidR="006D6C01" w:rsidRPr="006D6C01" w:rsidRDefault="006D6C01">
      <w:pPr>
        <w:pStyle w:val="NormalWeb"/>
      </w:pPr>
    </w:p>
    <w:p w:rsidR="001C5006" w:rsidRPr="008F5058" w:rsidRDefault="00A726DA">
      <w:pPr>
        <w:pStyle w:val="NormalWeb"/>
      </w:pPr>
      <m:oMathPara>
        <m:oMath>
          <m:sSub>
            <m:sSubPr>
              <m:ctrlPr>
                <w:rPr>
                  <w:rFonts w:ascii="Cambria Math" w:hAnsi="Cambria Math"/>
                  <w:i/>
                </w:rPr>
              </m:ctrlPr>
            </m:sSubPr>
            <m:e>
              <m:r>
                <w:rPr>
                  <w:rFonts w:ascii="Cambria Math" w:hAnsi="Cambria Math"/>
                </w:rPr>
                <m:t>VNAD</m:t>
              </m:r>
            </m:e>
            <m:sub>
              <m:r>
                <w:rPr>
                  <w:rFonts w:ascii="Cambria Math" w:hAnsi="Cambria Math"/>
                </w:rPr>
                <m:t>in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sSub>
                <m:sSubPr>
                  <m:ctrlPr>
                    <w:rPr>
                      <w:rFonts w:ascii="Cambria Math" w:hAnsi="Cambria Math"/>
                      <w:i/>
                    </w:rPr>
                  </m:ctrlPr>
                </m:sSubPr>
                <m:e>
                  <m:r>
                    <w:rPr>
                      <w:rFonts w:ascii="Cambria Math" w:hAnsi="Cambria Math"/>
                    </w:rPr>
                    <m:t>VIAD</m:t>
                  </m:r>
                </m:e>
                <m:sub>
                  <m:r>
                    <w:rPr>
                      <w:rFonts w:ascii="Cambria Math" w:hAnsi="Cambria Math"/>
                    </w:rPr>
                    <m:t>kn-1</m:t>
                  </m:r>
                </m:sub>
              </m:sSub>
              <m:r>
                <w:rPr>
                  <w:rFonts w:ascii="Cambria Math" w:hAnsi="Cambria Math"/>
                </w:rPr>
                <m:t>-</m:t>
              </m:r>
              <m:sSub>
                <m:sSubPr>
                  <m:ctrlPr>
                    <w:rPr>
                      <w:rFonts w:ascii="Cambria Math" w:hAnsi="Cambria Math"/>
                      <w:i/>
                    </w:rPr>
                  </m:ctrlPr>
                </m:sSubPr>
                <m:e>
                  <m:r>
                    <w:rPr>
                      <w:rFonts w:ascii="Cambria Math" w:hAnsi="Cambria Math"/>
                    </w:rPr>
                    <m:t>DFn</m:t>
                  </m:r>
                </m:e>
                <m:sub>
                  <m:r>
                    <w:rPr>
                      <w:rFonts w:ascii="Cambria Math" w:hAnsi="Cambria Math"/>
                    </w:rPr>
                    <m:t>n-1</m:t>
                  </m:r>
                </m:sub>
              </m:sSub>
              <m:r>
                <w:rPr>
                  <w:rFonts w:ascii="Cambria Math" w:hAnsi="Cambria Math"/>
                </w:rPr>
                <m:t xml:space="preserve">   (46)</m:t>
              </m:r>
            </m:e>
          </m:nary>
        </m:oMath>
      </m:oMathPara>
    </w:p>
    <w:p w:rsidR="008F5058" w:rsidRDefault="008F5058" w:rsidP="008F5058">
      <w:pPr>
        <w:pStyle w:val="NormalWeb"/>
      </w:pPr>
      <w:r>
        <w:t>unde:</w:t>
      </w:r>
    </w:p>
    <w:p w:rsidR="00494D57" w:rsidRPr="00494D57" w:rsidRDefault="00494D57" w:rsidP="008F5058">
      <w:pPr>
        <w:pStyle w:val="NormalWeb"/>
        <w:rPr>
          <w:iCs/>
          <w:strike/>
        </w:rPr>
      </w:pPr>
      <w:r>
        <w:rPr>
          <w:i/>
          <w:iCs/>
        </w:rPr>
        <w:t>VIAD</w:t>
      </w:r>
      <w:r>
        <w:rPr>
          <w:i/>
          <w:iCs/>
          <w:vertAlign w:val="subscript"/>
        </w:rPr>
        <w:t>kn-1</w:t>
      </w:r>
      <w:r>
        <w:t>–</w:t>
      </w:r>
      <w:r w:rsidR="00183FFF">
        <w:t xml:space="preserve"> costul de intrare a mijloacelor fixe </w:t>
      </w:r>
      <w:r w:rsidR="00782F78">
        <w:t>ș</w:t>
      </w:r>
      <w:r w:rsidR="00183FFF">
        <w:t>i a imobilizărilor necorporale de distribu</w:t>
      </w:r>
      <w:r w:rsidR="00782F78">
        <w:t>ț</w:t>
      </w:r>
      <w:r w:rsidR="00183FFF">
        <w:t xml:space="preserve">ie transmise în exploatare din anul </w:t>
      </w:r>
      <w:r w:rsidR="009B1383">
        <w:t xml:space="preserve">privatizării </w:t>
      </w:r>
      <w:r w:rsidR="00782F78">
        <w:t>ș</w:t>
      </w:r>
      <w:r w:rsidR="00183FFF">
        <w:t>i până la finele anului “n-1”</w:t>
      </w:r>
      <w:r w:rsidR="00EC35DC">
        <w:t>în strictă conformitate cu planurile de investiții aprobate de Agenție</w:t>
      </w:r>
      <w:r w:rsidR="00183FFF">
        <w:t>;</w:t>
      </w:r>
    </w:p>
    <w:p w:rsidR="008F5058" w:rsidRPr="00183FFF" w:rsidRDefault="008F5058" w:rsidP="008F5058">
      <w:pPr>
        <w:pStyle w:val="NormalWeb"/>
      </w:pPr>
      <w:r>
        <w:rPr>
          <w:i/>
          <w:iCs/>
        </w:rPr>
        <w:t>DFn</w:t>
      </w:r>
      <w:r>
        <w:rPr>
          <w:i/>
          <w:iCs/>
          <w:vertAlign w:val="subscript"/>
        </w:rPr>
        <w:t>n-1</w:t>
      </w:r>
      <w:r>
        <w:t xml:space="preserve">–amortizarea </w:t>
      </w:r>
      <w:r w:rsidR="00494D57">
        <w:t xml:space="preserve">mijloacelor fixe </w:t>
      </w:r>
      <w:r w:rsidR="00782F78">
        <w:t>ș</w:t>
      </w:r>
      <w:r w:rsidR="00494D57">
        <w:t>i a imobilizărilor necorporale</w:t>
      </w:r>
      <w:r>
        <w:t xml:space="preserve"> de distribu</w:t>
      </w:r>
      <w:r w:rsidR="00782F78">
        <w:t>ț</w:t>
      </w:r>
      <w:r>
        <w:t>ie</w:t>
      </w:r>
      <w:r w:rsidR="00494D57">
        <w:t xml:space="preserve">transmise în exploatare începând cu anul </w:t>
      </w:r>
      <w:r w:rsidR="009B1383">
        <w:t>privatizării</w:t>
      </w:r>
      <w:r>
        <w:t xml:space="preserve">, acumulată de la </w:t>
      </w:r>
      <w:r w:rsidR="008E3240">
        <w:t>transmiterea</w:t>
      </w:r>
      <w:r>
        <w:t xml:space="preserve"> în exploatare până la finele anului “n-1”</w:t>
      </w:r>
      <w:r w:rsidR="00183FFF">
        <w:t>;</w:t>
      </w:r>
    </w:p>
    <w:p w:rsidR="008F5058" w:rsidRDefault="008F5058" w:rsidP="008F5058">
      <w:pPr>
        <w:pStyle w:val="NormalWeb"/>
      </w:pPr>
      <w:r>
        <w:rPr>
          <w:i/>
          <w:iCs/>
        </w:rPr>
        <w:t>R</w:t>
      </w:r>
      <w:r>
        <w:rPr>
          <w:i/>
          <w:iCs/>
          <w:vertAlign w:val="subscript"/>
        </w:rPr>
        <w:t>rn</w:t>
      </w:r>
      <w:r>
        <w:t xml:space="preserve"> – rata reglementată a rentabilită</w:t>
      </w:r>
      <w:r w:rsidR="00782F78">
        <w:t>ț</w:t>
      </w:r>
      <w:r>
        <w:t xml:space="preserve">ii imobilizărilor în anul “n”. </w:t>
      </w:r>
    </w:p>
    <w:p w:rsidR="008F5058" w:rsidRDefault="008F5058" w:rsidP="008F5058">
      <w:pPr>
        <w:pStyle w:val="NormalWeb"/>
        <w:spacing w:before="120"/>
      </w:pPr>
      <w:r>
        <w:t>2) pentru ceilal</w:t>
      </w:r>
      <w:r w:rsidR="00782F78">
        <w:t>ț</w:t>
      </w:r>
      <w:r>
        <w:t>i OSD:</w:t>
      </w:r>
    </w:p>
    <w:p w:rsidR="008F5058" w:rsidRDefault="008F5058" w:rsidP="008F5058">
      <w:pPr>
        <w:pStyle w:val="NormalWeb"/>
      </w:pPr>
      <w:r>
        <w:t> </w:t>
      </w:r>
    </w:p>
    <w:p w:rsidR="008F5058" w:rsidRDefault="008F5058" w:rsidP="008F5058">
      <w:pPr>
        <w:pStyle w:val="cn"/>
      </w:pPr>
      <w:r>
        <w:rPr>
          <w:i/>
          <w:iCs/>
        </w:rPr>
        <w:t>RA</w:t>
      </w:r>
      <w:r>
        <w:rPr>
          <w:i/>
          <w:iCs/>
          <w:vertAlign w:val="subscript"/>
        </w:rPr>
        <w:t>n</w:t>
      </w:r>
      <w:r>
        <w:rPr>
          <w:i/>
          <w:iCs/>
        </w:rPr>
        <w:t xml:space="preserve"> = VNAD</w:t>
      </w:r>
      <w:r>
        <w:rPr>
          <w:i/>
          <w:iCs/>
          <w:vertAlign w:val="subscript"/>
        </w:rPr>
        <w:t>in</w:t>
      </w:r>
      <w:r>
        <w:rPr>
          <w:i/>
          <w:iCs/>
        </w:rPr>
        <w:t xml:space="preserve"> × R</w:t>
      </w:r>
      <w:r>
        <w:rPr>
          <w:i/>
          <w:iCs/>
          <w:vertAlign w:val="subscript"/>
        </w:rPr>
        <w:t>rn</w:t>
      </w:r>
      <w:r>
        <w:t>(4</w:t>
      </w:r>
      <w:r w:rsidR="00542C7B">
        <w:t>7</w:t>
      </w:r>
      <w:r>
        <w:t>)</w:t>
      </w:r>
    </w:p>
    <w:p w:rsidR="008F5058" w:rsidRDefault="008F5058" w:rsidP="008F5058">
      <w:pPr>
        <w:pStyle w:val="NormalWeb"/>
      </w:pPr>
      <w:r>
        <w:t> </w:t>
      </w:r>
    </w:p>
    <w:p w:rsidR="00494D57" w:rsidRDefault="008F5058" w:rsidP="008F5058">
      <w:pPr>
        <w:pStyle w:val="NormalWeb"/>
      </w:pPr>
      <w:r>
        <w:rPr>
          <w:i/>
          <w:iCs/>
        </w:rPr>
        <w:t>VNAD</w:t>
      </w:r>
      <w:r>
        <w:rPr>
          <w:i/>
          <w:iCs/>
          <w:vertAlign w:val="subscript"/>
        </w:rPr>
        <w:t>in</w:t>
      </w:r>
      <w:r>
        <w:t xml:space="preserve">–valoarea netă reglementată în anul “n” a mijloacelor fixe </w:t>
      </w:r>
      <w:r w:rsidR="00782F78">
        <w:t>ș</w:t>
      </w:r>
      <w:r>
        <w:t>i a imobilizărilor necorporale de distribu</w:t>
      </w:r>
      <w:r w:rsidR="00782F78">
        <w:t>ț</w:t>
      </w:r>
      <w:r>
        <w:t xml:space="preserve">ie, </w:t>
      </w:r>
      <w:r w:rsidR="00542C7B">
        <w:t>transmise</w:t>
      </w:r>
      <w:r>
        <w:t xml:space="preserve"> în exploatare din anul 2003 </w:t>
      </w:r>
      <w:r w:rsidR="00782F78">
        <w:t>ș</w:t>
      </w:r>
      <w:r>
        <w:t xml:space="preserve">i până la finele anului “n-1”, în </w:t>
      </w:r>
      <w:r>
        <w:lastRenderedPageBreak/>
        <w:t>urma investi</w:t>
      </w:r>
      <w:r w:rsidR="00782F78">
        <w:t>ț</w:t>
      </w:r>
      <w:r>
        <w:t>iilor efectuate în conformitate cu planurile de investi</w:t>
      </w:r>
      <w:r w:rsidR="00782F78">
        <w:t>ț</w:t>
      </w:r>
      <w:r>
        <w:t xml:space="preserve">ii aprobate de </w:t>
      </w:r>
      <w:r w:rsidR="009773BE">
        <w:t>Agenție</w:t>
      </w:r>
      <w:r w:rsidR="00782F78">
        <w:t>ș</w:t>
      </w:r>
      <w:r>
        <w:t>i luate în calcul în scopuri tarifare în această perioadă. Această valoare se determină conform formulei (4</w:t>
      </w:r>
      <w:r w:rsidR="00542C7B">
        <w:t>6</w:t>
      </w:r>
      <w:r>
        <w:t>) din Metodologie</w:t>
      </w:r>
      <w:r w:rsidR="00494D57">
        <w:t>, unde:</w:t>
      </w:r>
    </w:p>
    <w:p w:rsidR="00183FFF" w:rsidRPr="00494D57" w:rsidRDefault="00183FFF" w:rsidP="00183FFF">
      <w:pPr>
        <w:pStyle w:val="NormalWeb"/>
        <w:rPr>
          <w:iCs/>
          <w:strike/>
        </w:rPr>
      </w:pPr>
      <w:r>
        <w:rPr>
          <w:i/>
          <w:iCs/>
        </w:rPr>
        <w:t>VIAD</w:t>
      </w:r>
      <w:r>
        <w:rPr>
          <w:i/>
          <w:iCs/>
          <w:vertAlign w:val="subscript"/>
        </w:rPr>
        <w:t>kn-1</w:t>
      </w:r>
      <w:r>
        <w:t xml:space="preserve">– costul de intrare a mijloacelor fixe </w:t>
      </w:r>
      <w:r w:rsidR="00782F78">
        <w:t>ș</w:t>
      </w:r>
      <w:r>
        <w:t>i a imobilizărilor necorporale de distribu</w:t>
      </w:r>
      <w:r w:rsidR="00782F78">
        <w:t>ț</w:t>
      </w:r>
      <w:r>
        <w:t xml:space="preserve">ie transmise în exploatare din anul 2003 </w:t>
      </w:r>
      <w:r w:rsidR="00782F78">
        <w:t>ș</w:t>
      </w:r>
      <w:r>
        <w:t>i până la finele anului “n-1”;</w:t>
      </w:r>
    </w:p>
    <w:p w:rsidR="00183FFF" w:rsidRPr="00183FFF" w:rsidRDefault="00183FFF" w:rsidP="00EB5425">
      <w:pPr>
        <w:pStyle w:val="NormalWeb"/>
        <w:spacing w:after="120"/>
      </w:pPr>
      <w:r>
        <w:rPr>
          <w:i/>
          <w:iCs/>
        </w:rPr>
        <w:t>DFn</w:t>
      </w:r>
      <w:r>
        <w:rPr>
          <w:i/>
          <w:iCs/>
          <w:vertAlign w:val="subscript"/>
        </w:rPr>
        <w:t>n-1</w:t>
      </w:r>
      <w:r>
        <w:t xml:space="preserve">– amortizarea mijloacelor fixe </w:t>
      </w:r>
      <w:r w:rsidR="00782F78">
        <w:t>ș</w:t>
      </w:r>
      <w:r>
        <w:t>i a imobilizărilor necorporale de distribu</w:t>
      </w:r>
      <w:r w:rsidR="00782F78">
        <w:t>ț</w:t>
      </w:r>
      <w:r>
        <w:t>ietransmise în exploatare începând cu anul 2003, acumulată de la transmiterea în exploatare până la finele anului “n-1”</w:t>
      </w:r>
      <w:r w:rsidR="00EB5425">
        <w:t>.</w:t>
      </w:r>
    </w:p>
    <w:p w:rsidR="001C5006" w:rsidRDefault="00511323">
      <w:pPr>
        <w:pStyle w:val="NormalWeb"/>
      </w:pPr>
      <w:r>
        <w:rPr>
          <w:b/>
          <w:bCs/>
        </w:rPr>
        <w:t>3</w:t>
      </w:r>
      <w:r w:rsidRPr="00AA0E26">
        <w:rPr>
          <w:b/>
          <w:bCs/>
        </w:rPr>
        <w:t>0</w:t>
      </w:r>
      <w:r w:rsidR="00A92D31">
        <w:rPr>
          <w:b/>
          <w:bCs/>
        </w:rPr>
        <w:t>.</w:t>
      </w:r>
      <w:r w:rsidR="00A92D31">
        <w:t xml:space="preserve"> În cazul reevaluării mijloacelor fixe </w:t>
      </w:r>
      <w:r w:rsidR="00782F78">
        <w:t>ș</w:t>
      </w:r>
      <w:r w:rsidR="00A92D31">
        <w:t>i a imobilizărilor necorporale men</w:t>
      </w:r>
      <w:r w:rsidR="00782F78">
        <w:t>ț</w:t>
      </w:r>
      <w:r w:rsidR="00A92D31">
        <w:t>ionate în pct.</w:t>
      </w:r>
      <w:r w:rsidR="00EB5425">
        <w:t> </w:t>
      </w:r>
      <w:r w:rsidR="00E24D59" w:rsidRPr="00E24D59">
        <w:t>29</w:t>
      </w:r>
      <w:r w:rsidR="00A92D31">
        <w:t>, valoarea netă a acestora luată în calculul rentabilită</w:t>
      </w:r>
      <w:r w:rsidR="00782F78">
        <w:t>ț</w:t>
      </w:r>
      <w:r w:rsidR="00A92D31">
        <w:t>ii se va determina în baza formulei:</w:t>
      </w:r>
    </w:p>
    <w:p w:rsidR="001C5006" w:rsidRDefault="00A92D31">
      <w:pPr>
        <w:pStyle w:val="NormalWeb"/>
      </w:pPr>
      <w:r>
        <w:t> </w:t>
      </w:r>
    </w:p>
    <w:p w:rsidR="001C5006" w:rsidRDefault="00A726DA">
      <w:pPr>
        <w:pStyle w:val="NormalWeb"/>
      </w:pPr>
      <m:oMathPara>
        <m:oMath>
          <m:sSub>
            <m:sSubPr>
              <m:ctrlPr>
                <w:rPr>
                  <w:rFonts w:ascii="Cambria Math" w:hAnsi="Cambria Math"/>
                  <w:i/>
                </w:rPr>
              </m:ctrlPr>
            </m:sSubPr>
            <m:e>
              <m:r>
                <w:rPr>
                  <w:rFonts w:ascii="Cambria Math" w:hAnsi="Cambria Math"/>
                </w:rPr>
                <m:t>VNAD</m:t>
              </m:r>
            </m:e>
            <m:sub>
              <m:r>
                <w:rPr>
                  <w:rFonts w:ascii="Cambria Math" w:hAnsi="Cambria Math"/>
                </w:rPr>
                <m:t>in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VNAD</m:t>
                  </m:r>
                </m:e>
                <m:sub>
                  <m:r>
                    <w:rPr>
                      <w:rFonts w:ascii="Cambria Math" w:hAnsi="Cambria Math"/>
                    </w:rPr>
                    <m:t>rn</m:t>
                  </m:r>
                </m:sub>
              </m:sSub>
            </m:num>
            <m:den>
              <m:r>
                <w:rPr>
                  <w:rFonts w:ascii="Cambria Math" w:hAnsi="Cambria Math"/>
                </w:rPr>
                <m:t>K</m:t>
              </m:r>
            </m:den>
          </m:f>
          <m:r>
            <w:rPr>
              <w:rFonts w:ascii="Cambria Math" w:hAnsi="Cambria Math"/>
            </w:rPr>
            <m:t xml:space="preserve">           (48)</m:t>
          </m:r>
          <m:r>
            <m:rPr>
              <m:sty m:val="p"/>
            </m:rPr>
            <w:br/>
          </m:r>
        </m:oMath>
      </m:oMathPara>
      <w:r w:rsidR="00A92D31">
        <w:t> </w:t>
      </w:r>
    </w:p>
    <w:p w:rsidR="001C5006" w:rsidRDefault="00A92D31">
      <w:pPr>
        <w:pStyle w:val="NormalWeb"/>
      </w:pPr>
      <w:r>
        <w:t>unde:</w:t>
      </w:r>
    </w:p>
    <w:p w:rsidR="001C5006" w:rsidRDefault="00A92D31">
      <w:pPr>
        <w:pStyle w:val="NormalWeb"/>
      </w:pPr>
      <w:r>
        <w:rPr>
          <w:i/>
          <w:iCs/>
        </w:rPr>
        <w:t>VNAD</w:t>
      </w:r>
      <w:r>
        <w:rPr>
          <w:i/>
          <w:iCs/>
          <w:vertAlign w:val="subscript"/>
        </w:rPr>
        <w:t>rn</w:t>
      </w:r>
      <w:r>
        <w:t xml:space="preserve">– valoarea netă în anul “n” a mijloacelor fixe </w:t>
      </w:r>
      <w:r w:rsidR="00782F78">
        <w:t>ș</w:t>
      </w:r>
      <w:r>
        <w:t>i a imobilizărilor necorporale, după reevaluare;</w:t>
      </w:r>
    </w:p>
    <w:p w:rsidR="001C5006" w:rsidRDefault="00A92D31" w:rsidP="00EB5425">
      <w:pPr>
        <w:pStyle w:val="NormalWeb"/>
        <w:spacing w:after="120"/>
      </w:pPr>
      <w:r>
        <w:t>K – coeficientul modificării valorii imobilizărilor în rezultatul reevaluării. Acest coeficient se determină la data efectuării reevaluării reie</w:t>
      </w:r>
      <w:r w:rsidR="00782F78">
        <w:t>ș</w:t>
      </w:r>
      <w:r>
        <w:t xml:space="preserve">ind din raportul valorii contabile a mijloacelor fixe </w:t>
      </w:r>
      <w:r w:rsidR="00782F78">
        <w:t>ș</w:t>
      </w:r>
      <w:r>
        <w:t>i a imobilizărilor necorporale, determinate după reevaluare, la valoarea contabilă a acestora existentă până la reevaluare.</w:t>
      </w:r>
    </w:p>
    <w:p w:rsidR="001C5006" w:rsidRDefault="00511323">
      <w:pPr>
        <w:pStyle w:val="NormalWeb"/>
      </w:pPr>
      <w:r>
        <w:rPr>
          <w:b/>
          <w:bCs/>
        </w:rPr>
        <w:t>3</w:t>
      </w:r>
      <w:r w:rsidRPr="00AA0E26">
        <w:rPr>
          <w:b/>
          <w:bCs/>
        </w:rPr>
        <w:t>1</w:t>
      </w:r>
      <w:r w:rsidR="00A92D31">
        <w:rPr>
          <w:b/>
          <w:bCs/>
        </w:rPr>
        <w:t>.</w:t>
      </w:r>
      <w:r w:rsidR="00A92D31">
        <w:t xml:space="preserve"> Rata reglementată a rentabilită</w:t>
      </w:r>
      <w:r w:rsidR="00782F78">
        <w:t>ț</w:t>
      </w:r>
      <w:r w:rsidR="00A92D31">
        <w:t>ii imobilizărilor pentru fiecare an “n” se determină în baza metodei costului mediu ponderat al capitalului (WACC), înainte de impozitare, conform următoarei formule:</w:t>
      </w:r>
    </w:p>
    <w:p w:rsidR="001C5006" w:rsidRDefault="00A92D31">
      <w:pPr>
        <w:pStyle w:val="NormalWeb"/>
      </w:pPr>
      <w:r>
        <w:t> </w:t>
      </w:r>
    </w:p>
    <w:p w:rsidR="00991131" w:rsidRDefault="00991131">
      <w:pPr>
        <w:pStyle w:val="cn"/>
      </w:pPr>
      <m:oMathPara>
        <m:oMath>
          <m:r>
            <w:rPr>
              <w:rFonts w:ascii="Cambria Math" w:hAnsi="Cambria Math"/>
            </w:rPr>
            <m:t>Rrn=</m:t>
          </m:r>
          <m:f>
            <m:fPr>
              <m:ctrlPr>
                <w:rPr>
                  <w:rFonts w:ascii="Cambria Math" w:hAnsi="Cambria Math"/>
                  <w:i/>
                </w:rPr>
              </m:ctrlPr>
            </m:fPr>
            <m:num>
              <m:r>
                <w:rPr>
                  <w:rFonts w:ascii="Cambria Math" w:hAnsi="Cambria Math"/>
                </w:rPr>
                <m:t>Ke</m:t>
              </m:r>
            </m:num>
            <m:den>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t</m:t>
                      </m:r>
                    </m:num>
                    <m:den>
                      <m:r>
                        <w:rPr>
                          <w:rFonts w:ascii="Cambria Math" w:hAnsi="Cambria Math"/>
                        </w:rPr>
                        <m:t>100</m:t>
                      </m:r>
                    </m:den>
                  </m:f>
                </m:e>
              </m:d>
            </m:den>
          </m:f>
          <m:r>
            <w:rPr>
              <w:rFonts w:ascii="Cambria Math" w:hAnsi="Cambria Math"/>
            </w:rPr>
            <m:t>×</m:t>
          </m:r>
          <m:f>
            <m:fPr>
              <m:ctrlPr>
                <w:rPr>
                  <w:rFonts w:ascii="Cambria Math" w:hAnsi="Cambria Math"/>
                  <w:i/>
                </w:rPr>
              </m:ctrlPr>
            </m:fPr>
            <m:num>
              <m:r>
                <w:rPr>
                  <w:rFonts w:ascii="Cambria Math" w:hAnsi="Cambria Math"/>
                </w:rPr>
                <m:t>E</m:t>
              </m:r>
            </m:num>
            <m:den>
              <m:d>
                <m:dPr>
                  <m:ctrlPr>
                    <w:rPr>
                      <w:rFonts w:ascii="Cambria Math" w:hAnsi="Cambria Math"/>
                      <w:i/>
                    </w:rPr>
                  </m:ctrlPr>
                </m:dPr>
                <m:e>
                  <m:r>
                    <w:rPr>
                      <w:rFonts w:ascii="Cambria Math" w:hAnsi="Cambria Math"/>
                    </w:rPr>
                    <m:t>E+D</m:t>
                  </m:r>
                </m:e>
              </m:d>
            </m:den>
          </m:f>
          <m:r>
            <w:rPr>
              <w:rFonts w:ascii="Cambria Math" w:hAnsi="Cambria Math"/>
            </w:rPr>
            <m:t>+Kd×</m:t>
          </m:r>
          <m:f>
            <m:fPr>
              <m:ctrlPr>
                <w:rPr>
                  <w:rFonts w:ascii="Cambria Math" w:hAnsi="Cambria Math"/>
                  <w:i/>
                </w:rPr>
              </m:ctrlPr>
            </m:fPr>
            <m:num>
              <m:r>
                <w:rPr>
                  <w:rFonts w:ascii="Cambria Math" w:hAnsi="Cambria Math"/>
                </w:rPr>
                <m:t>D</m:t>
              </m:r>
            </m:num>
            <m:den>
              <m:d>
                <m:dPr>
                  <m:ctrlPr>
                    <w:rPr>
                      <w:rFonts w:ascii="Cambria Math" w:hAnsi="Cambria Math"/>
                      <w:i/>
                    </w:rPr>
                  </m:ctrlPr>
                </m:dPr>
                <m:e>
                  <m:r>
                    <w:rPr>
                      <w:rFonts w:ascii="Cambria Math" w:hAnsi="Cambria Math"/>
                    </w:rPr>
                    <m:t>E+D</m:t>
                  </m:r>
                </m:e>
              </m:d>
            </m:den>
          </m:f>
          <m:r>
            <w:rPr>
              <w:rFonts w:ascii="Cambria Math" w:hAnsi="Cambria Math"/>
            </w:rPr>
            <m:t xml:space="preserve">    (49)</m:t>
          </m:r>
        </m:oMath>
      </m:oMathPara>
    </w:p>
    <w:p w:rsidR="001C5006" w:rsidRDefault="00A92D31">
      <w:pPr>
        <w:pStyle w:val="NormalWeb"/>
      </w:pPr>
      <w:r>
        <w:t> </w:t>
      </w:r>
    </w:p>
    <w:p w:rsidR="001C5006" w:rsidRDefault="00A92D31">
      <w:pPr>
        <w:pStyle w:val="NormalWeb"/>
      </w:pPr>
      <w:r>
        <w:t xml:space="preserve">unde: </w:t>
      </w:r>
    </w:p>
    <w:p w:rsidR="001C5006" w:rsidRDefault="00A92D31">
      <w:pPr>
        <w:pStyle w:val="NormalWeb"/>
      </w:pPr>
      <w:r>
        <w:rPr>
          <w:i/>
          <w:iCs/>
        </w:rPr>
        <w:t>Ke</w:t>
      </w:r>
      <w:r>
        <w:t>  – costul capitalului propriu calculat după impozitare, %;.</w:t>
      </w:r>
    </w:p>
    <w:p w:rsidR="001C5006" w:rsidRDefault="00A92D31">
      <w:pPr>
        <w:pStyle w:val="NormalWeb"/>
      </w:pPr>
      <w:r>
        <w:rPr>
          <w:i/>
          <w:iCs/>
        </w:rPr>
        <w:t xml:space="preserve">Kd </w:t>
      </w:r>
      <w:r>
        <w:t> – costul capitalului împrumutat;</w:t>
      </w:r>
    </w:p>
    <w:p w:rsidR="001C5006" w:rsidRDefault="00A92D31">
      <w:pPr>
        <w:pStyle w:val="NormalWeb"/>
      </w:pPr>
      <w:r>
        <w:rPr>
          <w:i/>
          <w:iCs/>
        </w:rPr>
        <w:t>E</w:t>
      </w:r>
      <w:r>
        <w:t xml:space="preserve"> – capitalul propriu;</w:t>
      </w:r>
    </w:p>
    <w:p w:rsidR="001C5006" w:rsidRDefault="00A92D31">
      <w:pPr>
        <w:pStyle w:val="NormalWeb"/>
      </w:pPr>
      <w:r>
        <w:rPr>
          <w:i/>
          <w:iCs/>
        </w:rPr>
        <w:t>D</w:t>
      </w:r>
      <w:r>
        <w:t xml:space="preserve"> – capitalul împrumutat;</w:t>
      </w:r>
    </w:p>
    <w:p w:rsidR="001C5006" w:rsidRDefault="00A92D31">
      <w:pPr>
        <w:pStyle w:val="NormalWeb"/>
      </w:pPr>
      <w:r>
        <w:rPr>
          <w:i/>
          <w:iCs/>
        </w:rPr>
        <w:t xml:space="preserve">t </w:t>
      </w:r>
      <w:r>
        <w:t xml:space="preserve">– taxele impozitului pe venit, aplicate OSD conform </w:t>
      </w:r>
      <w:r w:rsidRPr="00EB5425">
        <w:t xml:space="preserve">prevederilor </w:t>
      </w:r>
      <w:hyperlink r:id="rId9" w:history="1">
        <w:r w:rsidRPr="00EB5425">
          <w:rPr>
            <w:rStyle w:val="Hyperlink"/>
            <w:color w:val="auto"/>
            <w:u w:val="none"/>
          </w:rPr>
          <w:t>Codului fiscal</w:t>
        </w:r>
      </w:hyperlink>
      <w:r>
        <w:t>.</w:t>
      </w:r>
    </w:p>
    <w:p w:rsidR="001C5006" w:rsidRDefault="00A92D31" w:rsidP="00EB5425">
      <w:pPr>
        <w:pStyle w:val="NormalWeb"/>
        <w:spacing w:after="120"/>
      </w:pPr>
      <w:r>
        <w:t xml:space="preserve">Indicatorii, formulele </w:t>
      </w:r>
      <w:r w:rsidR="00782F78">
        <w:t>ș</w:t>
      </w:r>
      <w:r>
        <w:t>i sursa de determinare a valorilor sunt prezentate în Anexa la Metodologie.</w:t>
      </w:r>
    </w:p>
    <w:p w:rsidR="001C5006" w:rsidRDefault="00511323" w:rsidP="00AF6FCF">
      <w:pPr>
        <w:pStyle w:val="NormalWeb"/>
        <w:spacing w:after="120"/>
      </w:pPr>
      <w:r>
        <w:rPr>
          <w:b/>
          <w:bCs/>
        </w:rPr>
        <w:t>3</w:t>
      </w:r>
      <w:r w:rsidRPr="00AA0E26">
        <w:rPr>
          <w:b/>
          <w:bCs/>
        </w:rPr>
        <w:t>2</w:t>
      </w:r>
      <w:r w:rsidR="00A92D31">
        <w:rPr>
          <w:b/>
          <w:bCs/>
        </w:rPr>
        <w:t>.</w:t>
      </w:r>
      <w:r w:rsidR="00AF6FCF">
        <w:t>În cazul în care valoarea planificată a proiectului de investi</w:t>
      </w:r>
      <w:r w:rsidR="003C285E">
        <w:t>ții depășeș</w:t>
      </w:r>
      <w:r w:rsidR="00AF6FCF">
        <w:t>te 1 milion de lei</w:t>
      </w:r>
      <w:r w:rsidR="00F40D13">
        <w:t>,</w:t>
      </w:r>
      <w:r w:rsidR="00AF6FCF">
        <w:t xml:space="preserve"> p</w:t>
      </w:r>
      <w:r w:rsidR="00A92D31">
        <w:t xml:space="preserve">lanificarea </w:t>
      </w:r>
      <w:r w:rsidR="00782F78">
        <w:t>ș</w:t>
      </w:r>
      <w:r w:rsidR="00A92D31">
        <w:t>i efectuarea investi</w:t>
      </w:r>
      <w:r w:rsidR="00782F78">
        <w:t>ț</w:t>
      </w:r>
      <w:r w:rsidR="00A92D31">
        <w:t xml:space="preserve">iilor va fi realizată de către OSD în conformitate cu prevederile </w:t>
      </w:r>
      <w:r w:rsidR="00A92D31">
        <w:rPr>
          <w:rFonts w:eastAsia="Times New Roman"/>
          <w:lang w:val="ro-RO" w:eastAsia="ru-RU"/>
        </w:rPr>
        <w:t xml:space="preserve">Regulamentul privind planificarea, aprobarea </w:t>
      </w:r>
      <w:r w:rsidR="00782F78">
        <w:rPr>
          <w:rFonts w:eastAsia="Times New Roman"/>
          <w:lang w:val="ro-RO" w:eastAsia="ru-RU"/>
        </w:rPr>
        <w:t>ș</w:t>
      </w:r>
      <w:r w:rsidR="00A92D31">
        <w:rPr>
          <w:rFonts w:eastAsia="Times New Roman"/>
          <w:lang w:val="ro-RO" w:eastAsia="ru-RU"/>
        </w:rPr>
        <w:t>i efectuarea investi</w:t>
      </w:r>
      <w:r w:rsidR="00782F78">
        <w:rPr>
          <w:rFonts w:eastAsia="Times New Roman"/>
          <w:lang w:val="ro-RO" w:eastAsia="ru-RU"/>
        </w:rPr>
        <w:t>ț</w:t>
      </w:r>
      <w:r w:rsidR="00A92D31">
        <w:rPr>
          <w:rFonts w:eastAsia="Times New Roman"/>
          <w:lang w:val="ro-RO" w:eastAsia="ru-RU"/>
        </w:rPr>
        <w:t xml:space="preserve">iilor, aprobat </w:t>
      </w:r>
      <w:r w:rsidR="00A92D31">
        <w:rPr>
          <w:color w:val="000000"/>
          <w:lang w:val="ro-RO"/>
        </w:rPr>
        <w:t>prin Hotărârea Consiliului de administra</w:t>
      </w:r>
      <w:r w:rsidR="00782F78">
        <w:rPr>
          <w:color w:val="000000"/>
          <w:lang w:val="ro-RO"/>
        </w:rPr>
        <w:t>ț</w:t>
      </w:r>
      <w:r w:rsidR="00A92D31">
        <w:rPr>
          <w:color w:val="000000"/>
          <w:lang w:val="ro-RO"/>
        </w:rPr>
        <w:t xml:space="preserve">ie al </w:t>
      </w:r>
      <w:r w:rsidR="009773BE">
        <w:t>Agenției</w:t>
      </w:r>
      <w:r w:rsidR="00A92D31">
        <w:rPr>
          <w:color w:val="000000"/>
          <w:lang w:val="ro-RO"/>
        </w:rPr>
        <w:t>nr.</w:t>
      </w:r>
      <w:r w:rsidR="00882F37">
        <w:rPr>
          <w:color w:val="000000"/>
          <w:lang w:val="ro-RO"/>
        </w:rPr>
        <w:t> </w:t>
      </w:r>
      <w:r w:rsidR="00A92D31">
        <w:rPr>
          <w:color w:val="000000"/>
          <w:lang w:val="ro-RO"/>
        </w:rPr>
        <w:t>283/2016 din 15 noiembrie 2016.</w:t>
      </w:r>
      <w:r w:rsidR="003C285E">
        <w:rPr>
          <w:color w:val="000000"/>
          <w:lang w:val="ro-RO"/>
        </w:rPr>
        <w:t xml:space="preserve"> Proiectele de investiț</w:t>
      </w:r>
      <w:r w:rsidR="00AF6FCF">
        <w:rPr>
          <w:color w:val="000000"/>
          <w:lang w:val="ro-RO"/>
        </w:rPr>
        <w:t>ii de valoare ma</w:t>
      </w:r>
      <w:r w:rsidR="003C285E">
        <w:rPr>
          <w:color w:val="000000"/>
          <w:lang w:val="ro-RO"/>
        </w:rPr>
        <w:t>i mică, vor fi aprobate de Agenț</w:t>
      </w:r>
      <w:r w:rsidR="00AF6FCF">
        <w:rPr>
          <w:color w:val="000000"/>
          <w:lang w:val="ro-RO"/>
        </w:rPr>
        <w:t>ie sub fo</w:t>
      </w:r>
      <w:r w:rsidR="003C285E">
        <w:rPr>
          <w:color w:val="000000"/>
          <w:lang w:val="ro-RO"/>
        </w:rPr>
        <w:t>rmă de listă. Agenț</w:t>
      </w:r>
      <w:r w:rsidR="00AF6FCF">
        <w:rPr>
          <w:color w:val="000000"/>
          <w:lang w:val="ro-RO"/>
        </w:rPr>
        <w:t>ia este în drept să solicite argumentarea suplimentară pe</w:t>
      </w:r>
      <w:r w:rsidR="003C285E">
        <w:rPr>
          <w:color w:val="000000"/>
          <w:lang w:val="ro-RO"/>
        </w:rPr>
        <w:t>ntru oricare proiect de investiț</w:t>
      </w:r>
      <w:r w:rsidR="00AF6FCF">
        <w:rPr>
          <w:color w:val="000000"/>
          <w:lang w:val="ro-RO"/>
        </w:rPr>
        <w:t>ii.</w:t>
      </w:r>
    </w:p>
    <w:p w:rsidR="001C5006" w:rsidRDefault="00511323">
      <w:pPr>
        <w:pStyle w:val="NormalWeb"/>
        <w:spacing w:after="120"/>
        <w:rPr>
          <w:lang w:val="ro-RO"/>
        </w:rPr>
      </w:pPr>
      <w:r>
        <w:rPr>
          <w:b/>
          <w:lang w:val="ro-RO"/>
        </w:rPr>
        <w:t>3</w:t>
      </w:r>
      <w:r w:rsidRPr="00AA0E26">
        <w:rPr>
          <w:b/>
        </w:rPr>
        <w:t>3</w:t>
      </w:r>
      <w:r w:rsidR="00A92D31">
        <w:rPr>
          <w:b/>
          <w:lang w:val="ro-RO"/>
        </w:rPr>
        <w:t>.</w:t>
      </w:r>
      <w:r w:rsidR="00A92D31">
        <w:rPr>
          <w:lang w:val="ro-RO"/>
        </w:rPr>
        <w:t xml:space="preserve"> Investi</w:t>
      </w:r>
      <w:r w:rsidR="00782F78">
        <w:rPr>
          <w:lang w:val="ro-RO"/>
        </w:rPr>
        <w:t>ț</w:t>
      </w:r>
      <w:r w:rsidR="00A92D31">
        <w:rPr>
          <w:lang w:val="ro-RO"/>
        </w:rPr>
        <w:t>iile efectuate în conformitate cu planul de investi</w:t>
      </w:r>
      <w:r w:rsidR="00782F78">
        <w:rPr>
          <w:lang w:val="ro-RO"/>
        </w:rPr>
        <w:t>ț</w:t>
      </w:r>
      <w:r w:rsidR="00A92D31">
        <w:rPr>
          <w:lang w:val="ro-RO"/>
        </w:rPr>
        <w:t>ii aprobat de Agen</w:t>
      </w:r>
      <w:r w:rsidR="00782F78">
        <w:rPr>
          <w:lang w:val="ro-RO"/>
        </w:rPr>
        <w:t>ț</w:t>
      </w:r>
      <w:r w:rsidR="00A92D31">
        <w:rPr>
          <w:lang w:val="ro-RO"/>
        </w:rPr>
        <w:t xml:space="preserve">ie se includ la calcularea amortizării </w:t>
      </w:r>
      <w:r w:rsidR="00782F78">
        <w:rPr>
          <w:lang w:val="ro-RO"/>
        </w:rPr>
        <w:t>ș</w:t>
      </w:r>
      <w:r w:rsidR="00A92D31">
        <w:rPr>
          <w:lang w:val="ro-RO"/>
        </w:rPr>
        <w:t>i rentabilită</w:t>
      </w:r>
      <w:r w:rsidR="00782F78">
        <w:rPr>
          <w:lang w:val="ro-RO"/>
        </w:rPr>
        <w:t>ț</w:t>
      </w:r>
      <w:r w:rsidR="00A92D31">
        <w:rPr>
          <w:lang w:val="ro-RO"/>
        </w:rPr>
        <w:t>ii.</w:t>
      </w:r>
    </w:p>
    <w:p w:rsidR="00EB5425" w:rsidRDefault="00EB5425">
      <w:pPr>
        <w:pStyle w:val="NormalWeb"/>
        <w:spacing w:after="120"/>
        <w:rPr>
          <w:lang w:val="ro-RO"/>
        </w:rPr>
      </w:pPr>
    </w:p>
    <w:p w:rsidR="001C5006" w:rsidRDefault="00A92D31" w:rsidP="00EB5425">
      <w:pPr>
        <w:pStyle w:val="cp"/>
        <w:spacing w:after="120"/>
      </w:pPr>
      <w:r>
        <w:t>Sec</w:t>
      </w:r>
      <w:r w:rsidR="00782F78">
        <w:t>ț</w:t>
      </w:r>
      <w:r>
        <w:t>iunea 7</w:t>
      </w:r>
    </w:p>
    <w:p w:rsidR="001C5006" w:rsidRDefault="00A92D31" w:rsidP="00EB5425">
      <w:pPr>
        <w:pStyle w:val="cp"/>
        <w:spacing w:after="120"/>
      </w:pPr>
      <w:r>
        <w:t xml:space="preserve">APROBAREA, ACTUALIZAREA </w:t>
      </w:r>
      <w:r w:rsidR="00782F78">
        <w:t>Ș</w:t>
      </w:r>
      <w:r>
        <w:t>I APLICAREA TARIFELOR</w:t>
      </w:r>
    </w:p>
    <w:p w:rsidR="001C5006" w:rsidRDefault="00511323" w:rsidP="00EB5425">
      <w:pPr>
        <w:pStyle w:val="NormalWeb"/>
        <w:spacing w:after="120"/>
      </w:pPr>
      <w:r>
        <w:rPr>
          <w:b/>
          <w:bCs/>
        </w:rPr>
        <w:t>3</w:t>
      </w:r>
      <w:r w:rsidRPr="00AA0E26">
        <w:rPr>
          <w:b/>
          <w:bCs/>
        </w:rPr>
        <w:t>4</w:t>
      </w:r>
      <w:r w:rsidR="00A92D31">
        <w:rPr>
          <w:b/>
          <w:bCs/>
        </w:rPr>
        <w:t>.</w:t>
      </w:r>
      <w:r w:rsidR="00A92D31">
        <w:t xml:space="preserve"> Tarifele pentru serviciul de distribu</w:t>
      </w:r>
      <w:r w:rsidR="00782F78">
        <w:t>ț</w:t>
      </w:r>
      <w:r w:rsidR="00A92D31">
        <w:t xml:space="preserve">ie a energiei electrice se determină anual de către OSD </w:t>
      </w:r>
      <w:r w:rsidR="00782F78">
        <w:t>ș</w:t>
      </w:r>
      <w:r w:rsidR="00A92D31">
        <w:t>i se aprobă de către Consiliul de Administra</w:t>
      </w:r>
      <w:r w:rsidR="00782F78">
        <w:t>ț</w:t>
      </w:r>
      <w:r w:rsidR="00A92D31">
        <w:t xml:space="preserve">ie al </w:t>
      </w:r>
      <w:r w:rsidR="009773BE">
        <w:t>Agenției</w:t>
      </w:r>
      <w:r w:rsidR="00A92D31">
        <w:t xml:space="preserve"> în conformitate cu prevederile </w:t>
      </w:r>
      <w:r w:rsidR="00A92D31">
        <w:lastRenderedPageBreak/>
        <w:t xml:space="preserve">Metodologiei. Pentru aceasta, la începutul fiecărui an, OSD vor prezenta </w:t>
      </w:r>
      <w:r w:rsidR="009773BE">
        <w:t>Agenției</w:t>
      </w:r>
      <w:r w:rsidR="00A92D31">
        <w:t xml:space="preserve"> calculul tarifelor, efectuat în conformitate cu Metodologia. </w:t>
      </w:r>
      <w:r w:rsidR="009773BE">
        <w:t>Agenția</w:t>
      </w:r>
      <w:r w:rsidR="00A92D31">
        <w:t xml:space="preserve"> va examina materialele prezentate de OSD </w:t>
      </w:r>
      <w:r w:rsidR="00782F78">
        <w:t>ș</w:t>
      </w:r>
      <w:r w:rsidR="00A92D31">
        <w:t xml:space="preserve">i, în cazul corespunderii acestora prevederilor Metodologiei, va actualiza, va aproba </w:t>
      </w:r>
      <w:r w:rsidR="00782F78">
        <w:t>ș</w:t>
      </w:r>
      <w:r w:rsidR="00A92D31">
        <w:t xml:space="preserve">i va publica tarifele noi nu mai târziu de 1 aprilie, care vor intra în vigoare </w:t>
      </w:r>
      <w:r w:rsidR="00782F78">
        <w:t>ș</w:t>
      </w:r>
      <w:r w:rsidR="00A92D31">
        <w:t>i vor fi aplicate după publicarea Hotărârii Consiliului de Administra</w:t>
      </w:r>
      <w:r w:rsidR="00782F78">
        <w:t>ț</w:t>
      </w:r>
      <w:r w:rsidR="00A92D31">
        <w:t xml:space="preserve">ie al </w:t>
      </w:r>
      <w:r w:rsidR="009773BE">
        <w:t>Agenției</w:t>
      </w:r>
      <w:r w:rsidR="00A92D31">
        <w:t xml:space="preserve"> în Monitorul Oficial al Republicii Moldova.</w:t>
      </w:r>
    </w:p>
    <w:p w:rsidR="001C5006" w:rsidRDefault="00511323" w:rsidP="00EB5425">
      <w:pPr>
        <w:pStyle w:val="NormalWeb"/>
        <w:spacing w:after="120"/>
      </w:pPr>
      <w:r>
        <w:rPr>
          <w:b/>
          <w:bCs/>
        </w:rPr>
        <w:t>3</w:t>
      </w:r>
      <w:r w:rsidRPr="00AA0E26">
        <w:rPr>
          <w:b/>
          <w:bCs/>
        </w:rPr>
        <w:t>5</w:t>
      </w:r>
      <w:r w:rsidR="00A92D31">
        <w:rPr>
          <w:b/>
          <w:bCs/>
        </w:rPr>
        <w:t>.</w:t>
      </w:r>
      <w:r w:rsidR="00A92D31">
        <w:t xml:space="preserve"> OSD vor avea dreptul să solicite </w:t>
      </w:r>
      <w:r w:rsidR="009773BE">
        <w:t>Agenției</w:t>
      </w:r>
      <w:r w:rsidR="00A92D31">
        <w:t xml:space="preserve"> actualizarea tarifelor în decursul anului, dacă există factori obiectivi ce nu pot fi controla</w:t>
      </w:r>
      <w:r w:rsidR="00782F78">
        <w:t>ț</w:t>
      </w:r>
      <w:r w:rsidR="00A92D31">
        <w:t>i de întreprinderi (</w:t>
      </w:r>
      <w:r w:rsidR="00A92D31" w:rsidRPr="00B66C94">
        <w:t>modificarea pre</w:t>
      </w:r>
      <w:r w:rsidR="00782F78" w:rsidRPr="00B66C94">
        <w:t>ț</w:t>
      </w:r>
      <w:r w:rsidR="00A92D31" w:rsidRPr="00B66C94">
        <w:t>urilor de procurare a energiei electrice, fluctua</w:t>
      </w:r>
      <w:r w:rsidR="00782F78" w:rsidRPr="00B66C94">
        <w:t>ț</w:t>
      </w:r>
      <w:r w:rsidR="00A92D31" w:rsidRPr="00B66C94">
        <w:t>ia cursului de schimb al valutei na</w:t>
      </w:r>
      <w:r w:rsidR="00782F78" w:rsidRPr="00B66C94">
        <w:t>ț</w:t>
      </w:r>
      <w:r w:rsidR="00A92D31" w:rsidRPr="00B66C94">
        <w:t xml:space="preserve">ionale, </w:t>
      </w:r>
      <w:r w:rsidR="00EB5425" w:rsidRPr="00B66C94">
        <w:t>adoptarea</w:t>
      </w:r>
      <w:r w:rsidR="00A92D31" w:rsidRPr="00B66C94">
        <w:t xml:space="preserve"> actelor legislative </w:t>
      </w:r>
      <w:r w:rsidR="00782F78" w:rsidRPr="00B66C94">
        <w:t>ș</w:t>
      </w:r>
      <w:r w:rsidR="00A92D31" w:rsidRPr="00B66C94">
        <w:t>i normative ce stabilesc obliga</w:t>
      </w:r>
      <w:r w:rsidR="00782F78" w:rsidRPr="00B66C94">
        <w:t>ț</w:t>
      </w:r>
      <w:r w:rsidR="00A92D31" w:rsidRPr="00B66C94">
        <w:t>ii suplimentare în sarcina OSD, care duc la majorarea costurilor de distribu</w:t>
      </w:r>
      <w:r w:rsidR="00782F78" w:rsidRPr="00B66C94">
        <w:t>ț</w:t>
      </w:r>
      <w:r w:rsidR="00A92D31" w:rsidRPr="00B66C94">
        <w:t xml:space="preserve">ie etc.), care justifică o astfel de actualizare </w:t>
      </w:r>
      <w:r w:rsidR="00782F78" w:rsidRPr="00B66C94">
        <w:t>ș</w:t>
      </w:r>
      <w:r w:rsidR="00A92D31" w:rsidRPr="00B66C94">
        <w:t xml:space="preserve">i care duc la o deviere mai </w:t>
      </w:r>
      <w:r w:rsidR="00A92D31">
        <w:t>mare de 5% din costul anual de distribu</w:t>
      </w:r>
      <w:r w:rsidR="00782F78">
        <w:t>ț</w:t>
      </w:r>
      <w:r w:rsidR="00A92D31">
        <w:t>ie stabilit în tarife. În a</w:t>
      </w:r>
      <w:r w:rsidR="00782F78">
        <w:t>ș</w:t>
      </w:r>
      <w:r w:rsidR="00A92D31">
        <w:t xml:space="preserve">a caz, OSD vor prezenta </w:t>
      </w:r>
      <w:r w:rsidR="009773BE">
        <w:t>Agenției</w:t>
      </w:r>
      <w:r w:rsidR="00A92D31">
        <w:t xml:space="preserve"> o analiză a factorilor de influen</w:t>
      </w:r>
      <w:r w:rsidR="00782F78">
        <w:t>ț</w:t>
      </w:r>
      <w:r w:rsidR="00A92D31">
        <w:t xml:space="preserve">ă </w:t>
      </w:r>
      <w:r w:rsidR="00782F78">
        <w:t>ș</w:t>
      </w:r>
      <w:r w:rsidR="00A92D31">
        <w:t xml:space="preserve">i a devierilor dintre datele aplicate la calcularea tarifelor </w:t>
      </w:r>
      <w:r w:rsidR="00782F78">
        <w:t>ș</w:t>
      </w:r>
      <w:r w:rsidR="00A92D31">
        <w:t xml:space="preserve">i cele real înregistrate, iar </w:t>
      </w:r>
      <w:r w:rsidR="009773BE">
        <w:t>Agenția</w:t>
      </w:r>
      <w:r w:rsidR="00A92D31">
        <w:t xml:space="preserve">, în aceste cazuri, </w:t>
      </w:r>
      <w:r w:rsidR="004E6C47">
        <w:t>ajustează</w:t>
      </w:r>
      <w:r w:rsidR="00A92D31">
        <w:t xml:space="preserve"> tarifele semestrial sau, după caz, mai frecvent în dependen</w:t>
      </w:r>
      <w:r w:rsidR="00782F78">
        <w:t>ț</w:t>
      </w:r>
      <w:r w:rsidR="00A92D31">
        <w:t>ă de nivelul de influen</w:t>
      </w:r>
      <w:r w:rsidR="00782F78">
        <w:t>ț</w:t>
      </w:r>
      <w:r w:rsidR="00A92D31">
        <w:t>ă asupra tarifelor a factorilor obiectivi.</w:t>
      </w:r>
    </w:p>
    <w:p w:rsidR="001C5006" w:rsidRDefault="00511323" w:rsidP="00EB5425">
      <w:pPr>
        <w:pStyle w:val="NormalWeb"/>
        <w:spacing w:after="120"/>
      </w:pPr>
      <w:r>
        <w:rPr>
          <w:b/>
        </w:rPr>
        <w:t>3</w:t>
      </w:r>
      <w:r w:rsidRPr="00AA0E26">
        <w:rPr>
          <w:b/>
        </w:rPr>
        <w:t>6</w:t>
      </w:r>
      <w:r w:rsidR="00A92D31">
        <w:rPr>
          <w:b/>
        </w:rPr>
        <w:t>.</w:t>
      </w:r>
      <w:r w:rsidR="00DF5CFC">
        <w:t xml:space="preserve">În cazul existenței unor factori obiectivi care generează devieri mai mari de 5% din costul anual de distribuție stabilit în tarife și care duc la diminuarea tarifelor, Agenția </w:t>
      </w:r>
      <w:r w:rsidR="00577F86">
        <w:t xml:space="preserve">este în drept să </w:t>
      </w:r>
      <w:r w:rsidR="00DF5CFC">
        <w:t>solicit</w:t>
      </w:r>
      <w:r w:rsidR="00577F86">
        <w:t>e</w:t>
      </w:r>
      <w:r w:rsidR="00DF5CFC">
        <w:t xml:space="preserve"> OSD prezentarea calculului tarifului ajustat.</w:t>
      </w:r>
    </w:p>
    <w:p w:rsidR="001F6264" w:rsidRDefault="00511323" w:rsidP="0022093D">
      <w:pPr>
        <w:pStyle w:val="NormalWeb"/>
        <w:spacing w:after="120"/>
      </w:pPr>
      <w:r>
        <w:rPr>
          <w:b/>
          <w:bCs/>
        </w:rPr>
        <w:t>3</w:t>
      </w:r>
      <w:r w:rsidRPr="00AA0E26">
        <w:rPr>
          <w:b/>
          <w:bCs/>
        </w:rPr>
        <w:t>7</w:t>
      </w:r>
      <w:r w:rsidR="00A92D31">
        <w:rPr>
          <w:b/>
          <w:bCs/>
        </w:rPr>
        <w:t>.</w:t>
      </w:r>
      <w:r w:rsidR="001F6264" w:rsidRPr="001F6264">
        <w:t>În cazul în care într-un anumit an, la nivel na</w:t>
      </w:r>
      <w:r w:rsidR="00782F78">
        <w:t>ț</w:t>
      </w:r>
      <w:r w:rsidR="001F6264" w:rsidRPr="001F6264">
        <w:t>ional, se va modifica cuantumul minim garantat al salariului în sectorul real, co</w:t>
      </w:r>
      <w:r w:rsidR="00D001D9">
        <w:t>sturi</w:t>
      </w:r>
      <w:r w:rsidR="001F6264" w:rsidRPr="001F6264">
        <w:t>le aferente remunerării muncii, din anul respectiv, vor fi</w:t>
      </w:r>
      <w:r w:rsidR="006B343C">
        <w:t xml:space="preserve"> actualizate </w:t>
      </w:r>
      <w:r w:rsidR="001F6264" w:rsidRPr="001F6264">
        <w:t>prin substituirea IPCM cu indicele cre</w:t>
      </w:r>
      <w:r w:rsidR="00782F78">
        <w:t>ș</w:t>
      </w:r>
      <w:r w:rsidR="001F6264" w:rsidRPr="001F6264">
        <w:t>terii medii anuale a cuantumului minim garantat al salariului în sectorul real.</w:t>
      </w:r>
    </w:p>
    <w:p w:rsidR="001C5006" w:rsidRDefault="00511323" w:rsidP="0022093D">
      <w:pPr>
        <w:pStyle w:val="NormalWeb"/>
        <w:spacing w:after="120"/>
      </w:pPr>
      <w:r>
        <w:rPr>
          <w:b/>
          <w:bCs/>
        </w:rPr>
        <w:t>3</w:t>
      </w:r>
      <w:r w:rsidRPr="00AA0E26">
        <w:rPr>
          <w:b/>
          <w:bCs/>
        </w:rPr>
        <w:t>8</w:t>
      </w:r>
      <w:r w:rsidR="00A92D31">
        <w:rPr>
          <w:b/>
          <w:bCs/>
        </w:rPr>
        <w:t>.</w:t>
      </w:r>
      <w:r w:rsidR="00A92D31">
        <w:t xml:space="preserve"> Devierile tarifare create pe parcursul anului de gestiune vor fi incluse în tariful anului viitor </w:t>
      </w:r>
      <w:r w:rsidR="00782F78">
        <w:t>ș</w:t>
      </w:r>
      <w:r w:rsidR="00A92D31">
        <w:t>i actualizate la rata de rentabilitate (Rr), în baza valorilor acestor devieri determinate lunar. În cazul modificării tarifelor în decursul anului de gestiune, devierile tarifare (Dev) generate în perioada precedentă a anului de gestiune vor fi luate în considera</w:t>
      </w:r>
      <w:r w:rsidR="00782F78">
        <w:t>ț</w:t>
      </w:r>
      <w:r w:rsidR="00A92D31">
        <w:t>ie pe deplin la calcularea noilor tarife. În acest caz, devierile tarifare se includ în tarif astfel încât să fie recuperate până la sfâr</w:t>
      </w:r>
      <w:r w:rsidR="00782F78">
        <w:t>ș</w:t>
      </w:r>
      <w:r w:rsidR="0022093D">
        <w:t>itul anului de gestiune.</w:t>
      </w:r>
    </w:p>
    <w:p w:rsidR="001C5006" w:rsidRDefault="00511323" w:rsidP="0022093D">
      <w:pPr>
        <w:pStyle w:val="NormalWeb"/>
        <w:spacing w:after="120"/>
      </w:pPr>
      <w:r w:rsidRPr="00AA0E26">
        <w:rPr>
          <w:b/>
          <w:bCs/>
        </w:rPr>
        <w:t>39</w:t>
      </w:r>
      <w:r w:rsidR="00A92D31">
        <w:rPr>
          <w:b/>
          <w:bCs/>
        </w:rPr>
        <w:t>.</w:t>
      </w:r>
      <w:r w:rsidR="00A92D31">
        <w:t xml:space="preserve"> În cazul în care, în perioada de </w:t>
      </w:r>
      <w:r w:rsidR="008D7AF4">
        <w:t xml:space="preserve">aplicare </w:t>
      </w:r>
      <w:r w:rsidR="00A92D31">
        <w:t>a Metodologiei vor fi adoptate acte normative de reglementare, care vor influen</w:t>
      </w:r>
      <w:r w:rsidR="00782F78">
        <w:t>ț</w:t>
      </w:r>
      <w:r w:rsidR="00A92D31">
        <w:t>a nivelul co</w:t>
      </w:r>
      <w:r w:rsidR="00D001D9">
        <w:t>sturi</w:t>
      </w:r>
      <w:r w:rsidR="00A92D31">
        <w:t xml:space="preserve">lor </w:t>
      </w:r>
      <w:r w:rsidR="00782F78">
        <w:t>ș</w:t>
      </w:r>
      <w:r w:rsidR="00A92D31">
        <w:t>i al cheltuielilor de distribu</w:t>
      </w:r>
      <w:r w:rsidR="00782F78">
        <w:t>ț</w:t>
      </w:r>
      <w:r w:rsidR="00A92D31">
        <w:t>ie a energiei electrice, aceste modificări vor fi luate în considera</w:t>
      </w:r>
      <w:r w:rsidR="00782F78">
        <w:t>ț</w:t>
      </w:r>
      <w:r w:rsidR="00A92D31">
        <w:t xml:space="preserve">ie de către </w:t>
      </w:r>
      <w:r w:rsidR="009773BE">
        <w:t>Agenție</w:t>
      </w:r>
      <w:r w:rsidR="00A92D31">
        <w:t xml:space="preserve"> la ajustarea anuală a tarifelor.</w:t>
      </w:r>
      <w:r w:rsidR="006B343C" w:rsidRPr="006B343C">
        <w:t xml:space="preserve">În metodologie </w:t>
      </w:r>
      <w:r w:rsidR="00924C27">
        <w:t>sunt</w:t>
      </w:r>
      <w:r w:rsidR="006B343C" w:rsidRPr="006B343C">
        <w:t xml:space="preserve"> introduse modificări pe parcursul perioadei de aplicare, în măsura necesară pentru a asigura respectarea cadrului </w:t>
      </w:r>
      <w:r w:rsidR="008D7AF4">
        <w:t>normativ</w:t>
      </w:r>
      <w:r w:rsidR="006B343C" w:rsidRPr="006B343C">
        <w:t>al Republicii Moldova</w:t>
      </w:r>
      <w:r w:rsidR="0022093D">
        <w:t>.</w:t>
      </w:r>
    </w:p>
    <w:p w:rsidR="009E3FA4" w:rsidRPr="009E3FA4" w:rsidRDefault="00511323" w:rsidP="009E3FA4">
      <w:pPr>
        <w:pStyle w:val="NormalWeb"/>
        <w:spacing w:after="120"/>
      </w:pPr>
      <w:r w:rsidRPr="00AA0E26">
        <w:rPr>
          <w:b/>
          <w:bCs/>
        </w:rPr>
        <w:t>40</w:t>
      </w:r>
      <w:r w:rsidR="00A92D31" w:rsidRPr="00F40D13">
        <w:rPr>
          <w:b/>
          <w:bCs/>
        </w:rPr>
        <w:t>.</w:t>
      </w:r>
      <w:r w:rsidR="007651DE" w:rsidRPr="000A27F2">
        <w:t>Mijloacele obț</w:t>
      </w:r>
      <w:r w:rsidR="003C285E" w:rsidRPr="000A27F2">
        <w:t>inute pe perioada de aplicare a prezentei metodologii în urma reflectării în tarif</w:t>
      </w:r>
      <w:r w:rsidR="000F7E31">
        <w:t>e</w:t>
      </w:r>
      <w:r w:rsidR="003C285E" w:rsidRPr="000A27F2">
        <w:t xml:space="preserve"> a mărimii costurilor aferente amortizării</w:t>
      </w:r>
      <w:r w:rsidR="00C95FDD">
        <w:t xml:space="preserve"> mijloacelor fixe și</w:t>
      </w:r>
      <w:r w:rsidR="003C285E" w:rsidRPr="000A27F2">
        <w:t xml:space="preserve"> imobilizărilor</w:t>
      </w:r>
      <w:r w:rsidR="00C95FDD">
        <w:t xml:space="preserve"> necorporale</w:t>
      </w:r>
      <w:r w:rsidR="003C285E" w:rsidRPr="000A27F2">
        <w:t>, vor fi utilizate de OSD doar în scopul efectuării de noi investiții. În cazul neutilizării sau utilizării acestora în alte scopuri</w:t>
      </w:r>
      <w:r w:rsidR="003C285E" w:rsidRPr="000A27F2">
        <w:rPr>
          <w:i/>
        </w:rPr>
        <w:t xml:space="preserve">, </w:t>
      </w:r>
      <w:r w:rsidR="003C285E" w:rsidRPr="000A27F2">
        <w:t xml:space="preserve">Agenția este în drept să diminueze tariful pentru serviciul de distribuție a energiei electrice pentru ultimul an de aplicare a metodologiei tarifare în </w:t>
      </w:r>
      <w:r w:rsidR="003C285E" w:rsidRPr="00AA0E26">
        <w:t>cuantumul</w:t>
      </w:r>
      <w:r w:rsidR="003C285E" w:rsidRPr="000A27F2">
        <w:t xml:space="preserve"> corespunzător mijloacelor financiare neutilizate sau utilizate în alte scopuri</w:t>
      </w:r>
      <w:r w:rsidR="003C285E" w:rsidRPr="003A727F">
        <w:t xml:space="preserve">. </w:t>
      </w:r>
    </w:p>
    <w:p w:rsidR="00AE166E" w:rsidRDefault="00AE166E" w:rsidP="0022093D">
      <w:pPr>
        <w:pStyle w:val="NormalWeb"/>
        <w:spacing w:after="120"/>
      </w:pPr>
      <w:r w:rsidRPr="00AE166E">
        <w:rPr>
          <w:b/>
        </w:rPr>
        <w:t>4</w:t>
      </w:r>
      <w:r w:rsidR="00511323" w:rsidRPr="00E24D59">
        <w:rPr>
          <w:b/>
        </w:rPr>
        <w:t>1</w:t>
      </w:r>
      <w:r w:rsidRPr="00AE166E">
        <w:rPr>
          <w:b/>
        </w:rPr>
        <w:t>.</w:t>
      </w:r>
      <w:r w:rsidRPr="00AE166E">
        <w:t>În cazul efectuării de lucrări extraordinare, provocate drept urmare a calamită</w:t>
      </w:r>
      <w:r w:rsidR="00782F78">
        <w:t>ț</w:t>
      </w:r>
      <w:r w:rsidRPr="00AE166E">
        <w:t>ilor naturale, operatorul re</w:t>
      </w:r>
      <w:r w:rsidR="00782F78">
        <w:t>ț</w:t>
      </w:r>
      <w:r w:rsidRPr="00AE166E">
        <w:t>elei de distribu</w:t>
      </w:r>
      <w:r w:rsidR="00782F78">
        <w:t>ț</w:t>
      </w:r>
      <w:r w:rsidRPr="00AE166E">
        <w:t>ie va prezenta Agen</w:t>
      </w:r>
      <w:r w:rsidR="00782F78">
        <w:t>ț</w:t>
      </w:r>
      <w:r w:rsidRPr="00AE166E">
        <w:t xml:space="preserve">iei un raport cu descrierea detaliată a costurilor suportate. Raportul urmează să demonstreze, în ce măsură costurile suplimentare suportate nu sunt recuperate prin tarif, </w:t>
      </w:r>
      <w:r w:rsidR="004437EF">
        <w:t xml:space="preserve">iar Agenția va decide </w:t>
      </w:r>
      <w:r w:rsidRPr="00AE166E">
        <w:t>în vederea includerii cuantumului costurilor neacoperite în tariful calculat pentru anul în care s-au produs calamită</w:t>
      </w:r>
      <w:r w:rsidR="00782F78">
        <w:t>ț</w:t>
      </w:r>
      <w:r w:rsidRPr="00AE166E">
        <w:t>ile naturale în cauză.</w:t>
      </w:r>
    </w:p>
    <w:p w:rsidR="0022093D" w:rsidRDefault="0022093D">
      <w:r>
        <w:br w:type="page"/>
      </w:r>
    </w:p>
    <w:tbl>
      <w:tblPr>
        <w:tblW w:w="0" w:type="auto"/>
        <w:jc w:val="center"/>
        <w:tblLook w:val="04A0"/>
      </w:tblPr>
      <w:tblGrid>
        <w:gridCol w:w="1837"/>
        <w:gridCol w:w="1033"/>
        <w:gridCol w:w="5205"/>
        <w:gridCol w:w="1654"/>
      </w:tblGrid>
      <w:tr w:rsidR="001C5006" w:rsidRPr="0022093D">
        <w:trPr>
          <w:jc w:val="center"/>
        </w:trPr>
        <w:tc>
          <w:tcPr>
            <w:tcW w:w="0" w:type="auto"/>
            <w:gridSpan w:val="4"/>
            <w:tcBorders>
              <w:top w:val="nil"/>
              <w:left w:val="nil"/>
              <w:bottom w:val="single" w:sz="6" w:space="0" w:color="000000"/>
              <w:right w:val="nil"/>
            </w:tcBorders>
            <w:tcMar>
              <w:top w:w="15" w:type="dxa"/>
              <w:left w:w="45" w:type="dxa"/>
              <w:bottom w:w="15" w:type="dxa"/>
              <w:right w:w="45" w:type="dxa"/>
            </w:tcMar>
            <w:hideMark/>
          </w:tcPr>
          <w:p w:rsidR="001C5006" w:rsidRPr="0022093D" w:rsidRDefault="00162AF1">
            <w:pPr>
              <w:pStyle w:val="rg"/>
              <w:rPr>
                <w:b/>
                <w:sz w:val="20"/>
                <w:szCs w:val="20"/>
              </w:rPr>
            </w:pPr>
            <w:r>
              <w:rPr>
                <w:b/>
                <w:sz w:val="20"/>
                <w:szCs w:val="20"/>
              </w:rPr>
              <w:lastRenderedPageBreak/>
              <w:t>A</w:t>
            </w:r>
            <w:r w:rsidRPr="0022093D">
              <w:rPr>
                <w:b/>
                <w:sz w:val="20"/>
                <w:szCs w:val="20"/>
              </w:rPr>
              <w:t>nex</w:t>
            </w:r>
            <w:r>
              <w:rPr>
                <w:b/>
                <w:sz w:val="20"/>
                <w:szCs w:val="20"/>
              </w:rPr>
              <w:t>ă</w:t>
            </w:r>
          </w:p>
          <w:p w:rsidR="001C5006" w:rsidRPr="0022093D" w:rsidRDefault="00A92D31">
            <w:pPr>
              <w:pStyle w:val="rg"/>
              <w:rPr>
                <w:b/>
                <w:sz w:val="20"/>
                <w:szCs w:val="20"/>
              </w:rPr>
            </w:pPr>
            <w:r w:rsidRPr="0022093D">
              <w:rPr>
                <w:b/>
                <w:sz w:val="20"/>
                <w:szCs w:val="20"/>
              </w:rPr>
              <w:t xml:space="preserve">la Metodologia de calculare, aprobare </w:t>
            </w:r>
            <w:r w:rsidR="00782F78" w:rsidRPr="0022093D">
              <w:rPr>
                <w:b/>
                <w:sz w:val="20"/>
                <w:szCs w:val="20"/>
              </w:rPr>
              <w:t>ș</w:t>
            </w:r>
            <w:r w:rsidRPr="0022093D">
              <w:rPr>
                <w:b/>
                <w:sz w:val="20"/>
                <w:szCs w:val="20"/>
              </w:rPr>
              <w:t xml:space="preserve">i </w:t>
            </w:r>
          </w:p>
          <w:p w:rsidR="001C5006" w:rsidRPr="0022093D" w:rsidRDefault="00A92D31">
            <w:pPr>
              <w:pStyle w:val="rg"/>
              <w:rPr>
                <w:b/>
                <w:sz w:val="20"/>
                <w:szCs w:val="20"/>
              </w:rPr>
            </w:pPr>
            <w:r w:rsidRPr="0022093D">
              <w:rPr>
                <w:b/>
                <w:sz w:val="20"/>
                <w:szCs w:val="20"/>
              </w:rPr>
              <w:t xml:space="preserve">ajustare a tarifelor pentru serviciul </w:t>
            </w:r>
          </w:p>
          <w:p w:rsidR="001C5006" w:rsidRPr="0022093D" w:rsidRDefault="00A92D31">
            <w:pPr>
              <w:pStyle w:val="rg"/>
              <w:rPr>
                <w:b/>
                <w:sz w:val="20"/>
                <w:szCs w:val="20"/>
              </w:rPr>
            </w:pPr>
            <w:r w:rsidRPr="0022093D">
              <w:rPr>
                <w:b/>
                <w:sz w:val="20"/>
                <w:szCs w:val="20"/>
              </w:rPr>
              <w:t>de distribu</w:t>
            </w:r>
            <w:r w:rsidR="00782F78" w:rsidRPr="0022093D">
              <w:rPr>
                <w:b/>
                <w:sz w:val="20"/>
                <w:szCs w:val="20"/>
              </w:rPr>
              <w:t>ț</w:t>
            </w:r>
            <w:r w:rsidRPr="0022093D">
              <w:rPr>
                <w:b/>
                <w:sz w:val="20"/>
                <w:szCs w:val="20"/>
              </w:rPr>
              <w:t>ie a energiei electrice</w:t>
            </w:r>
          </w:p>
          <w:p w:rsidR="001C5006" w:rsidRPr="0022093D" w:rsidRDefault="00A92D31">
            <w:pPr>
              <w:pStyle w:val="NormalWeb"/>
              <w:rPr>
                <w:b/>
                <w:sz w:val="20"/>
                <w:szCs w:val="20"/>
              </w:rPr>
            </w:pPr>
            <w:r w:rsidRPr="0022093D">
              <w:rPr>
                <w:b/>
                <w:sz w:val="20"/>
                <w:szCs w:val="20"/>
              </w:rPr>
              <w:t> </w:t>
            </w:r>
          </w:p>
          <w:p w:rsidR="001C5006" w:rsidRPr="0022093D" w:rsidRDefault="00A92D31">
            <w:pPr>
              <w:pStyle w:val="cb"/>
              <w:rPr>
                <w:sz w:val="20"/>
                <w:szCs w:val="20"/>
              </w:rPr>
            </w:pPr>
            <w:r w:rsidRPr="0022093D">
              <w:rPr>
                <w:sz w:val="20"/>
                <w:szCs w:val="20"/>
              </w:rPr>
              <w:t xml:space="preserve">Indicatorii, formulele </w:t>
            </w:r>
            <w:r w:rsidR="00782F78" w:rsidRPr="0022093D">
              <w:rPr>
                <w:sz w:val="20"/>
                <w:szCs w:val="20"/>
              </w:rPr>
              <w:t>ș</w:t>
            </w:r>
            <w:r w:rsidRPr="0022093D">
              <w:rPr>
                <w:sz w:val="20"/>
                <w:szCs w:val="20"/>
              </w:rPr>
              <w:t>i sursa de determinare a valorilor de calcul a ratei de rentabilitate</w:t>
            </w:r>
          </w:p>
          <w:p w:rsidR="001C5006" w:rsidRPr="0022093D" w:rsidRDefault="00A92D31">
            <w:pPr>
              <w:pStyle w:val="cb"/>
              <w:rPr>
                <w:sz w:val="20"/>
                <w:szCs w:val="20"/>
              </w:rPr>
            </w:pPr>
            <w:r w:rsidRPr="0022093D">
              <w:rPr>
                <w:sz w:val="20"/>
                <w:szCs w:val="20"/>
              </w:rPr>
              <w:t>a activelor Rr în baza costului mediu ponderat al capitalului (WACC)</w:t>
            </w:r>
          </w:p>
          <w:p w:rsidR="001C5006" w:rsidRPr="0022093D" w:rsidRDefault="00A92D31">
            <w:pPr>
              <w:pStyle w:val="NormalWeb"/>
              <w:rPr>
                <w:b/>
                <w:sz w:val="20"/>
                <w:szCs w:val="20"/>
              </w:rPr>
            </w:pPr>
            <w:r w:rsidRPr="0022093D">
              <w:rPr>
                <w:b/>
                <w:sz w:val="20"/>
                <w:szCs w:val="20"/>
              </w:rPr>
              <w:t> </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b/>
                <w:bCs/>
                <w:sz w:val="20"/>
                <w:szCs w:val="20"/>
              </w:rPr>
            </w:pPr>
            <w:r>
              <w:rPr>
                <w:rFonts w:eastAsia="Times New Roman"/>
                <w:b/>
                <w:bCs/>
                <w:sz w:val="20"/>
                <w:szCs w:val="20"/>
              </w:rPr>
              <w:t>Indicatori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b/>
                <w:bCs/>
                <w:sz w:val="20"/>
                <w:szCs w:val="20"/>
              </w:rPr>
            </w:pPr>
            <w:r>
              <w:rPr>
                <w:rFonts w:eastAsia="Times New Roman"/>
                <w:b/>
                <w:bCs/>
                <w:sz w:val="20"/>
                <w:szCs w:val="20"/>
              </w:rPr>
              <w:t xml:space="preserve">Simbolul </w:t>
            </w:r>
            <w:r w:rsidR="00782F78">
              <w:rPr>
                <w:rFonts w:eastAsia="Times New Roman"/>
                <w:b/>
                <w:bCs/>
                <w:sz w:val="20"/>
                <w:szCs w:val="20"/>
              </w:rPr>
              <w:t>ș</w:t>
            </w:r>
            <w:r>
              <w:rPr>
                <w:rFonts w:eastAsia="Times New Roman"/>
                <w:b/>
                <w:bCs/>
                <w:sz w:val="20"/>
                <w:szCs w:val="20"/>
              </w:rPr>
              <w:t>i formulele de calcul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b/>
                <w:bCs/>
                <w:sz w:val="20"/>
                <w:szCs w:val="20"/>
              </w:rPr>
            </w:pPr>
            <w:r>
              <w:rPr>
                <w:rFonts w:eastAsia="Times New Roman"/>
                <w:b/>
                <w:bCs/>
                <w:sz w:val="20"/>
                <w:szCs w:val="20"/>
              </w:rPr>
              <w:t>Sursa de determinare a indicatorilor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b/>
                <w:bCs/>
                <w:sz w:val="20"/>
                <w:szCs w:val="20"/>
              </w:rPr>
            </w:pPr>
            <w:r>
              <w:rPr>
                <w:rFonts w:eastAsia="Times New Roman"/>
                <w:b/>
                <w:bCs/>
                <w:sz w:val="20"/>
                <w:szCs w:val="20"/>
              </w:rPr>
              <w:t xml:space="preserve">Valoarea indicilor </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Rata lipsită de risc,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rf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Rata lipsită de risc a SUA, media anului precedent a bonurilor cu maturitatea de 10 ani, publicată de Trezoreria SUA (</w:t>
            </w:r>
            <w:r w:rsidRPr="00C34943">
              <w:rPr>
                <w:rFonts w:eastAsia="Times New Roman"/>
                <w:sz w:val="20"/>
                <w:szCs w:val="20"/>
              </w:rPr>
              <w:t>www.treasury.gov</w:t>
            </w:r>
            <w:r>
              <w:rPr>
                <w:rFonts w:eastAsia="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 Determinată anual</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Rata de risc al </w:t>
            </w:r>
            <w:r w:rsidR="00782F78">
              <w:rPr>
                <w:rFonts w:eastAsia="Times New Roman"/>
                <w:sz w:val="20"/>
                <w:szCs w:val="20"/>
              </w:rPr>
              <w:t>ț</w:t>
            </w:r>
            <w:r>
              <w:rPr>
                <w:rFonts w:eastAsia="Times New Roman"/>
                <w:sz w:val="20"/>
                <w:szCs w:val="20"/>
              </w:rPr>
              <w:t>ării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Rata de risc a Republicii Moldova, actualizată în ianuarie 201</w:t>
            </w:r>
            <w:r w:rsidR="003027B8">
              <w:rPr>
                <w:rFonts w:eastAsia="Times New Roman"/>
                <w:sz w:val="20"/>
                <w:szCs w:val="20"/>
              </w:rPr>
              <w:t>8</w:t>
            </w:r>
            <w:r w:rsidR="00782F78">
              <w:rPr>
                <w:rFonts w:eastAsia="Times New Roman"/>
                <w:sz w:val="20"/>
                <w:szCs w:val="20"/>
              </w:rPr>
              <w:t>ș</w:t>
            </w:r>
            <w:r>
              <w:rPr>
                <w:rFonts w:eastAsia="Times New Roman"/>
                <w:sz w:val="20"/>
                <w:szCs w:val="20"/>
              </w:rPr>
              <w:t xml:space="preserve">i publicată în sursa: </w:t>
            </w:r>
            <w:r w:rsidRPr="00C34943">
              <w:rPr>
                <w:rFonts w:eastAsia="Times New Roman"/>
                <w:sz w:val="20"/>
                <w:szCs w:val="20"/>
              </w:rPr>
              <w:t>http://pages.stern.nyu.edu/~adamodar/</w:t>
            </w:r>
            <w:r>
              <w:rPr>
                <w:rFonts w:eastAsia="Times New Roman"/>
                <w:sz w:val="20"/>
                <w:szCs w:val="20"/>
              </w:rPr>
              <w:t>, la compartimentul: Risk Premium for Other Markets, Country Risk premium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08371E" w:rsidP="003027B8">
            <w:pPr>
              <w:rPr>
                <w:rFonts w:eastAsia="Times New Roman"/>
                <w:sz w:val="20"/>
                <w:szCs w:val="20"/>
              </w:rPr>
            </w:pPr>
            <w:r>
              <w:rPr>
                <w:rFonts w:eastAsia="Times New Roman"/>
                <w:sz w:val="20"/>
                <w:szCs w:val="20"/>
              </w:rPr>
              <w:t>7</w:t>
            </w:r>
            <w:r w:rsidR="00A92D31">
              <w:rPr>
                <w:rFonts w:eastAsia="Times New Roman"/>
                <w:sz w:val="20"/>
                <w:szCs w:val="20"/>
              </w:rPr>
              <w:t>,5%. Dacă într-un anumit an valoarea publicată este mai mică decât cea din ianuarie 201</w:t>
            </w:r>
            <w:r w:rsidR="003027B8">
              <w:rPr>
                <w:rFonts w:eastAsia="Times New Roman"/>
                <w:sz w:val="20"/>
                <w:szCs w:val="20"/>
              </w:rPr>
              <w:t>8</w:t>
            </w:r>
            <w:r w:rsidR="00A92D31">
              <w:rPr>
                <w:rFonts w:eastAsia="Times New Roman"/>
                <w:sz w:val="20"/>
                <w:szCs w:val="20"/>
              </w:rPr>
              <w:t>, se aplică valoarea publicată</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Raportul capital împrumutat/capital propriu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Se va aplica raportul de </w:t>
            </w:r>
            <w:r w:rsidR="0008371E">
              <w:rPr>
                <w:rFonts w:eastAsia="Times New Roman"/>
                <w:sz w:val="20"/>
                <w:szCs w:val="20"/>
              </w:rPr>
              <w:t>3</w:t>
            </w:r>
            <w:r>
              <w:rPr>
                <w:rFonts w:eastAsia="Times New Roman"/>
                <w:sz w:val="20"/>
                <w:szCs w:val="20"/>
              </w:rPr>
              <w:t xml:space="preserve">5% la </w:t>
            </w:r>
            <w:r w:rsidR="0008371E">
              <w:rPr>
                <w:rFonts w:eastAsia="Times New Roman"/>
                <w:sz w:val="20"/>
                <w:szCs w:val="20"/>
              </w:rPr>
              <w:t>6</w:t>
            </w:r>
            <w:r>
              <w:rPr>
                <w:rFonts w:eastAsia="Times New Roman"/>
                <w:sz w:val="20"/>
                <w:szCs w:val="20"/>
              </w:rPr>
              <w:t xml:space="preserve">5%, stabil pentru toată perioada de </w:t>
            </w:r>
            <w:r w:rsidR="002D213A">
              <w:rPr>
                <w:rFonts w:eastAsia="Times New Roman"/>
                <w:sz w:val="20"/>
                <w:szCs w:val="20"/>
              </w:rPr>
              <w:t xml:space="preserve">aplicare </w:t>
            </w:r>
            <w:r>
              <w:rPr>
                <w:rFonts w:eastAsia="Times New Roman"/>
                <w:sz w:val="20"/>
                <w:szCs w:val="20"/>
              </w:rPr>
              <w:t>a Metodologiei tarifare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C1712B" w:rsidP="0008371E">
            <w:pPr>
              <w:rPr>
                <w:rFonts w:eastAsia="Times New Roman"/>
                <w:sz w:val="20"/>
                <w:szCs w:val="20"/>
              </w:rPr>
            </w:pPr>
            <w:r>
              <w:rPr>
                <w:rFonts w:eastAsia="Times New Roman"/>
                <w:sz w:val="20"/>
                <w:szCs w:val="20"/>
              </w:rPr>
              <w:t>35/65</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Riscul sistematic al industriei (lipsit de îndatorare)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rsidP="00454BB1">
            <w:pPr>
              <w:rPr>
                <w:rFonts w:eastAsia="Times New Roman"/>
                <w:sz w:val="20"/>
                <w:szCs w:val="20"/>
              </w:rPr>
            </w:pPr>
            <w:r>
              <w:rPr>
                <w:rFonts w:eastAsia="Times New Roman"/>
                <w:sz w:val="20"/>
                <w:szCs w:val="20"/>
              </w:rPr>
              <w:t>Valoarea medie corespunzătoare companiilor de utilită</w:t>
            </w:r>
            <w:r w:rsidR="00782F78">
              <w:rPr>
                <w:rFonts w:eastAsia="Times New Roman"/>
                <w:sz w:val="20"/>
                <w:szCs w:val="20"/>
              </w:rPr>
              <w:t>ț</w:t>
            </w:r>
            <w:r>
              <w:rPr>
                <w:rFonts w:eastAsia="Times New Roman"/>
                <w:sz w:val="20"/>
                <w:szCs w:val="20"/>
              </w:rPr>
              <w:t>i publice a SUA publicată în ianuarie 201</w:t>
            </w:r>
            <w:r w:rsidR="00454BB1">
              <w:rPr>
                <w:rFonts w:eastAsia="Times New Roman"/>
                <w:sz w:val="20"/>
                <w:szCs w:val="20"/>
              </w:rPr>
              <w:t>8</w:t>
            </w:r>
            <w:r>
              <w:rPr>
                <w:rFonts w:eastAsia="Times New Roman"/>
                <w:sz w:val="20"/>
                <w:szCs w:val="20"/>
              </w:rPr>
              <w:t xml:space="preserve"> în sursa: </w:t>
            </w:r>
            <w:r w:rsidRPr="00C34943">
              <w:rPr>
                <w:rFonts w:eastAsia="Times New Roman"/>
                <w:sz w:val="20"/>
                <w:szCs w:val="20"/>
              </w:rPr>
              <w:t>http://pages.stern.nyu.edu/~adamodar/</w:t>
            </w:r>
            <w:r w:rsidR="00F409D4">
              <w:rPr>
                <w:rFonts w:eastAsia="Times New Roman"/>
                <w:sz w:val="20"/>
                <w:szCs w:val="20"/>
              </w:rPr>
              <w:t>la compartimentul: Data Se</w:t>
            </w:r>
            <w:r>
              <w:rPr>
                <w:rFonts w:eastAsia="Times New Roman"/>
                <w:sz w:val="20"/>
                <w:szCs w:val="20"/>
              </w:rPr>
              <w:t>ts, Levered an unlevered Betas by Industry, Utility (General)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rsidP="00546FF4">
            <w:pPr>
              <w:rPr>
                <w:rFonts w:eastAsia="Times New Roman"/>
                <w:sz w:val="20"/>
                <w:szCs w:val="20"/>
              </w:rPr>
            </w:pPr>
            <w:r>
              <w:rPr>
                <w:rFonts w:eastAsia="Times New Roman"/>
                <w:sz w:val="20"/>
                <w:szCs w:val="20"/>
              </w:rPr>
              <w:t>0,</w:t>
            </w:r>
            <w:r w:rsidR="00546FF4">
              <w:rPr>
                <w:rFonts w:eastAsia="Times New Roman"/>
                <w:sz w:val="20"/>
                <w:szCs w:val="20"/>
              </w:rPr>
              <w:t>19</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Rata impozitului pe venit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Conform </w:t>
            </w:r>
            <w:hyperlink r:id="rId10" w:history="1">
              <w:r>
                <w:rPr>
                  <w:rStyle w:val="Hyperlink"/>
                  <w:color w:val="auto"/>
                  <w:sz w:val="20"/>
                  <w:szCs w:val="20"/>
                  <w:u w:val="none"/>
                </w:rPr>
                <w:t>Codului fiscal</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Determinată anual</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Riscul sistematic al industriei ajustate la gradul de îndatorare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βd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Se determină conform formulei: βd = β + d/e × β(1 -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Determinată anual</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Prima de risc caracteristică pie</w:t>
            </w:r>
            <w:r w:rsidR="00782F78">
              <w:rPr>
                <w:rFonts w:eastAsia="Times New Roman"/>
                <w:sz w:val="20"/>
                <w:szCs w:val="20"/>
              </w:rPr>
              <w:t>ț</w:t>
            </w:r>
            <w:r>
              <w:rPr>
                <w:rFonts w:eastAsia="Times New Roman"/>
                <w:sz w:val="20"/>
                <w:szCs w:val="20"/>
              </w:rPr>
              <w:t>ei,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(rm-rf)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rsidP="005E303D">
            <w:pPr>
              <w:rPr>
                <w:rFonts w:eastAsia="Times New Roman"/>
                <w:sz w:val="20"/>
                <w:szCs w:val="20"/>
              </w:rPr>
            </w:pPr>
            <w:r>
              <w:rPr>
                <w:rFonts w:eastAsia="Times New Roman"/>
                <w:sz w:val="20"/>
                <w:szCs w:val="20"/>
              </w:rPr>
              <w:t>Prima de risc de pia</w:t>
            </w:r>
            <w:r w:rsidR="00782F78">
              <w:rPr>
                <w:rFonts w:eastAsia="Times New Roman"/>
                <w:sz w:val="20"/>
                <w:szCs w:val="20"/>
              </w:rPr>
              <w:t>ț</w:t>
            </w:r>
            <w:r>
              <w:rPr>
                <w:rFonts w:eastAsia="Times New Roman"/>
                <w:sz w:val="20"/>
                <w:szCs w:val="20"/>
              </w:rPr>
              <w:t>ă, determinată în ianuarie 201</w:t>
            </w:r>
            <w:r w:rsidR="005E303D">
              <w:rPr>
                <w:rFonts w:eastAsia="Times New Roman"/>
                <w:sz w:val="20"/>
                <w:szCs w:val="20"/>
              </w:rPr>
              <w:t>8</w:t>
            </w:r>
            <w:r>
              <w:rPr>
                <w:rFonts w:eastAsia="Times New Roman"/>
                <w:sz w:val="20"/>
                <w:szCs w:val="20"/>
              </w:rPr>
              <w:t xml:space="preserve"> c</w:t>
            </w:r>
            <w:r w:rsidR="001E1B14">
              <w:rPr>
                <w:rFonts w:eastAsia="Times New Roman"/>
                <w:sz w:val="20"/>
                <w:szCs w:val="20"/>
              </w:rPr>
              <w:t>a media aritmetică din ultimii 3</w:t>
            </w:r>
            <w:r>
              <w:rPr>
                <w:rFonts w:eastAsia="Times New Roman"/>
                <w:sz w:val="20"/>
                <w:szCs w:val="20"/>
              </w:rPr>
              <w:t xml:space="preserve">0 ani în SUA (Stock-T. Bonds) </w:t>
            </w:r>
            <w:r w:rsidR="00782F78">
              <w:rPr>
                <w:rFonts w:eastAsia="Times New Roman"/>
                <w:sz w:val="20"/>
                <w:szCs w:val="20"/>
              </w:rPr>
              <w:t>ș</w:t>
            </w:r>
            <w:r>
              <w:rPr>
                <w:rFonts w:eastAsia="Times New Roman"/>
                <w:sz w:val="20"/>
                <w:szCs w:val="20"/>
              </w:rPr>
              <w:t xml:space="preserve">i publicată în sursa: </w:t>
            </w:r>
            <w:r w:rsidRPr="00C34943">
              <w:rPr>
                <w:rFonts w:eastAsia="Times New Roman"/>
                <w:sz w:val="20"/>
                <w:szCs w:val="20"/>
              </w:rPr>
              <w:t>http://pages.stern.nyu.edu/~adamodar/</w:t>
            </w:r>
            <w:r>
              <w:rPr>
                <w:rFonts w:eastAsia="Times New Roman"/>
                <w:sz w:val="20"/>
                <w:szCs w:val="20"/>
              </w:rPr>
              <w:t xml:space="preserve"> la compartimentul: Data Sets, Historical Return on Stoks, Bonds and Bills, Arithmetic Average, Risk Premium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5E303D" w:rsidP="005E303D">
            <w:pPr>
              <w:rPr>
                <w:rFonts w:eastAsia="Times New Roman"/>
                <w:sz w:val="20"/>
                <w:szCs w:val="20"/>
              </w:rPr>
            </w:pPr>
            <w:r>
              <w:rPr>
                <w:rFonts w:eastAsia="Times New Roman"/>
                <w:sz w:val="20"/>
                <w:szCs w:val="20"/>
              </w:rPr>
              <w:t>5</w:t>
            </w:r>
            <w:r w:rsidR="00A92D31">
              <w:rPr>
                <w:rFonts w:eastAsia="Times New Roman"/>
                <w:sz w:val="20"/>
                <w:szCs w:val="20"/>
              </w:rPr>
              <w:t>,</w:t>
            </w:r>
            <w:r>
              <w:rPr>
                <w:rFonts w:eastAsia="Times New Roman"/>
                <w:sz w:val="20"/>
                <w:szCs w:val="20"/>
              </w:rPr>
              <w:t>22</w:t>
            </w:r>
            <w:r w:rsidR="00A92D31">
              <w:rPr>
                <w:rFonts w:eastAsia="Times New Roman"/>
                <w:sz w:val="20"/>
                <w:szCs w:val="20"/>
              </w:rPr>
              <w:t>%</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Costul capitalului propriu,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Se determină conform formulei: Ke = rf </w:t>
            </w:r>
            <w:r w:rsidR="00546FF4">
              <w:rPr>
                <w:rFonts w:eastAsia="Times New Roman"/>
                <w:sz w:val="20"/>
                <w:szCs w:val="20"/>
              </w:rPr>
              <w:t>+rt</w:t>
            </w:r>
            <w:r>
              <w:rPr>
                <w:rFonts w:eastAsia="Times New Roman"/>
                <w:sz w:val="20"/>
                <w:szCs w:val="20"/>
              </w:rPr>
              <w:t>+ βd × ( rm - rf)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Determinată anual</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Costul capitalului împrumutat,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Kd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 xml:space="preserve">Valoarea anuală a capitalului împrumutat a întreprinderii. Se va determina anual ca media calculată pe baza dobânzii curente a unui împrumut eficient </w:t>
            </w:r>
            <w:r w:rsidR="00782F78">
              <w:rPr>
                <w:rFonts w:eastAsia="Times New Roman"/>
                <w:sz w:val="20"/>
                <w:szCs w:val="20"/>
              </w:rPr>
              <w:t>ș</w:t>
            </w:r>
            <w:r>
              <w:rPr>
                <w:rFonts w:eastAsia="Times New Roman"/>
                <w:sz w:val="20"/>
                <w:szCs w:val="20"/>
              </w:rPr>
              <w:t>i bine gestionat pe pia</w:t>
            </w:r>
            <w:r w:rsidR="00782F78">
              <w:rPr>
                <w:rFonts w:eastAsia="Times New Roman"/>
                <w:sz w:val="20"/>
                <w:szCs w:val="20"/>
              </w:rPr>
              <w:t>ț</w:t>
            </w:r>
            <w:r>
              <w:rPr>
                <w:rFonts w:eastAsia="Times New Roman"/>
                <w:sz w:val="20"/>
                <w:szCs w:val="20"/>
              </w:rPr>
              <w:t>a de capital na</w:t>
            </w:r>
            <w:r w:rsidR="00782F78">
              <w:rPr>
                <w:rFonts w:eastAsia="Times New Roman"/>
                <w:sz w:val="20"/>
                <w:szCs w:val="20"/>
              </w:rPr>
              <w:t>ț</w:t>
            </w:r>
            <w:r>
              <w:rPr>
                <w:rFonts w:eastAsia="Times New Roman"/>
                <w:sz w:val="20"/>
                <w:szCs w:val="20"/>
              </w:rPr>
              <w:t xml:space="preserve">ională </w:t>
            </w:r>
            <w:r w:rsidR="00782F78">
              <w:rPr>
                <w:rFonts w:eastAsia="Times New Roman"/>
                <w:sz w:val="20"/>
                <w:szCs w:val="20"/>
              </w:rPr>
              <w:t>ș</w:t>
            </w:r>
            <w:r>
              <w:rPr>
                <w:rFonts w:eastAsia="Times New Roman"/>
                <w:sz w:val="20"/>
                <w:szCs w:val="20"/>
              </w:rPr>
              <w:t>i interna</w:t>
            </w:r>
            <w:r w:rsidR="00782F78">
              <w:rPr>
                <w:rFonts w:eastAsia="Times New Roman"/>
                <w:sz w:val="20"/>
                <w:szCs w:val="20"/>
              </w:rPr>
              <w:t>ț</w:t>
            </w:r>
            <w:r>
              <w:rPr>
                <w:rFonts w:eastAsia="Times New Roman"/>
                <w:sz w:val="20"/>
                <w:szCs w:val="20"/>
              </w:rPr>
              <w:t>ională relevantă. Valoarea acestuia corespunde ratei medii la creditele acordate în valută străină în anul precedent anului calculării tarifului, publicate de Banca Na</w:t>
            </w:r>
            <w:r w:rsidR="00782F78">
              <w:rPr>
                <w:rFonts w:eastAsia="Times New Roman"/>
                <w:sz w:val="20"/>
                <w:szCs w:val="20"/>
              </w:rPr>
              <w:t>ț</w:t>
            </w:r>
            <w:r>
              <w:rPr>
                <w:rFonts w:eastAsia="Times New Roman"/>
                <w:sz w:val="20"/>
                <w:szCs w:val="20"/>
              </w:rPr>
              <w:t>ională a Moldovei la compartimentul: Statistica monetară, Ratele medii ale dobânzilor, Rata medie la creditele acordate în valută străină/persoane juridice/ peste 12 luni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Determinată anual</w:t>
            </w:r>
          </w:p>
        </w:tc>
      </w:tr>
      <w:tr w:rsidR="001C500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Rata de rentabilitate,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jc w:val="center"/>
              <w:rPr>
                <w:rFonts w:eastAsia="Times New Roman"/>
                <w:sz w:val="20"/>
                <w:szCs w:val="20"/>
              </w:rPr>
            </w:pPr>
            <w:r>
              <w:rPr>
                <w:rFonts w:eastAsia="Times New Roman"/>
                <w:sz w:val="20"/>
                <w:szCs w:val="20"/>
              </w:rPr>
              <w:t>Rr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Se determină conform WACC: Rr = WACC = Ke/(1 - t) × e/(d + e) + Kd × d/(d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5006" w:rsidRDefault="00A92D31">
            <w:pPr>
              <w:rPr>
                <w:rFonts w:eastAsia="Times New Roman"/>
                <w:sz w:val="20"/>
                <w:szCs w:val="20"/>
              </w:rPr>
            </w:pPr>
            <w:r>
              <w:rPr>
                <w:rFonts w:eastAsia="Times New Roman"/>
                <w:sz w:val="20"/>
                <w:szCs w:val="20"/>
              </w:rPr>
              <w:t>Determinată anual</w:t>
            </w:r>
          </w:p>
        </w:tc>
      </w:tr>
    </w:tbl>
    <w:p w:rsidR="00A92D31" w:rsidRDefault="00A92D31" w:rsidP="0022093D">
      <w:pPr>
        <w:pStyle w:val="NormalWeb"/>
        <w:ind w:firstLine="0"/>
      </w:pPr>
    </w:p>
    <w:sectPr w:rsidR="00A92D31" w:rsidSect="0022093D">
      <w:headerReference w:type="default" r:id="rId11"/>
      <w:pgSz w:w="11906" w:h="16838"/>
      <w:pgMar w:top="993" w:right="707"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46" w:rsidRDefault="00AD5346" w:rsidP="00B9793F">
      <w:r>
        <w:separator/>
      </w:r>
    </w:p>
  </w:endnote>
  <w:endnote w:type="continuationSeparator" w:id="1">
    <w:p w:rsidR="00AD5346" w:rsidRDefault="00AD5346" w:rsidP="00B97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46" w:rsidRDefault="00AD5346" w:rsidP="00B9793F">
      <w:r>
        <w:separator/>
      </w:r>
    </w:p>
  </w:footnote>
  <w:footnote w:type="continuationSeparator" w:id="1">
    <w:p w:rsidR="00AD5346" w:rsidRDefault="00AD5346" w:rsidP="00B97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400943"/>
      <w:docPartObj>
        <w:docPartGallery w:val="Page Numbers (Top of Page)"/>
        <w:docPartUnique/>
      </w:docPartObj>
    </w:sdtPr>
    <w:sdtEndPr>
      <w:rPr>
        <w:noProof/>
      </w:rPr>
    </w:sdtEndPr>
    <w:sdtContent>
      <w:p w:rsidR="000674EE" w:rsidRDefault="00A726DA">
        <w:pPr>
          <w:pStyle w:val="Header"/>
          <w:jc w:val="right"/>
        </w:pPr>
        <w:r>
          <w:fldChar w:fldCharType="begin"/>
        </w:r>
        <w:r w:rsidR="000674EE">
          <w:instrText xml:space="preserve"> PAGE   \* MERGEFORMAT </w:instrText>
        </w:r>
        <w:r>
          <w:fldChar w:fldCharType="separate"/>
        </w:r>
        <w:r w:rsidR="00645EBA">
          <w:rPr>
            <w:noProof/>
          </w:rPr>
          <w:t>16</w:t>
        </w:r>
        <w:r>
          <w:rPr>
            <w:noProof/>
          </w:rPr>
          <w:fldChar w:fldCharType="end"/>
        </w:r>
      </w:p>
    </w:sdtContent>
  </w:sdt>
  <w:p w:rsidR="000674EE" w:rsidRDefault="00067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footnotePr>
    <w:footnote w:id="0"/>
    <w:footnote w:id="1"/>
  </w:footnotePr>
  <w:endnotePr>
    <w:endnote w:id="0"/>
    <w:endnote w:id="1"/>
  </w:endnotePr>
  <w:compat/>
  <w:rsids>
    <w:rsidRoot w:val="00D94F29"/>
    <w:rsid w:val="00002904"/>
    <w:rsid w:val="00004B15"/>
    <w:rsid w:val="00044BF7"/>
    <w:rsid w:val="000674EE"/>
    <w:rsid w:val="00077E51"/>
    <w:rsid w:val="0008371E"/>
    <w:rsid w:val="000876DB"/>
    <w:rsid w:val="000A27F2"/>
    <w:rsid w:val="000B737F"/>
    <w:rsid w:val="000F5696"/>
    <w:rsid w:val="000F7E31"/>
    <w:rsid w:val="00121627"/>
    <w:rsid w:val="001250ED"/>
    <w:rsid w:val="0013303E"/>
    <w:rsid w:val="00162AF1"/>
    <w:rsid w:val="00183FFF"/>
    <w:rsid w:val="001A6D0D"/>
    <w:rsid w:val="001B0598"/>
    <w:rsid w:val="001C279C"/>
    <w:rsid w:val="001C5006"/>
    <w:rsid w:val="001E1B14"/>
    <w:rsid w:val="001F34EC"/>
    <w:rsid w:val="001F6264"/>
    <w:rsid w:val="002131EF"/>
    <w:rsid w:val="0022093D"/>
    <w:rsid w:val="0023772A"/>
    <w:rsid w:val="002655D6"/>
    <w:rsid w:val="002852C1"/>
    <w:rsid w:val="00291188"/>
    <w:rsid w:val="0029707C"/>
    <w:rsid w:val="002D0C8F"/>
    <w:rsid w:val="002D213A"/>
    <w:rsid w:val="003027B8"/>
    <w:rsid w:val="00307933"/>
    <w:rsid w:val="00307D0F"/>
    <w:rsid w:val="003A727F"/>
    <w:rsid w:val="003C285E"/>
    <w:rsid w:val="003D166C"/>
    <w:rsid w:val="004053F9"/>
    <w:rsid w:val="00413CAB"/>
    <w:rsid w:val="0042789F"/>
    <w:rsid w:val="00442FBE"/>
    <w:rsid w:val="004437EF"/>
    <w:rsid w:val="00454BB1"/>
    <w:rsid w:val="00466B2F"/>
    <w:rsid w:val="00494D57"/>
    <w:rsid w:val="004E403B"/>
    <w:rsid w:val="004E6C47"/>
    <w:rsid w:val="00511323"/>
    <w:rsid w:val="00517FBF"/>
    <w:rsid w:val="00542C7B"/>
    <w:rsid w:val="00546FF4"/>
    <w:rsid w:val="00550EF7"/>
    <w:rsid w:val="00552E32"/>
    <w:rsid w:val="0057530C"/>
    <w:rsid w:val="00577F86"/>
    <w:rsid w:val="00595C71"/>
    <w:rsid w:val="005C7FB7"/>
    <w:rsid w:val="005E0C2F"/>
    <w:rsid w:val="005E303D"/>
    <w:rsid w:val="005F64B0"/>
    <w:rsid w:val="00612121"/>
    <w:rsid w:val="00617B4B"/>
    <w:rsid w:val="00622AD5"/>
    <w:rsid w:val="00645EBA"/>
    <w:rsid w:val="00662B48"/>
    <w:rsid w:val="00663C05"/>
    <w:rsid w:val="00674078"/>
    <w:rsid w:val="00682F60"/>
    <w:rsid w:val="00685F03"/>
    <w:rsid w:val="006976FD"/>
    <w:rsid w:val="006B343C"/>
    <w:rsid w:val="006D6C01"/>
    <w:rsid w:val="006E4D82"/>
    <w:rsid w:val="006E67B8"/>
    <w:rsid w:val="007275B4"/>
    <w:rsid w:val="0073107A"/>
    <w:rsid w:val="00765077"/>
    <w:rsid w:val="007651DE"/>
    <w:rsid w:val="00782F78"/>
    <w:rsid w:val="00790BD5"/>
    <w:rsid w:val="007C7181"/>
    <w:rsid w:val="007D5031"/>
    <w:rsid w:val="007E5B78"/>
    <w:rsid w:val="007E6C07"/>
    <w:rsid w:val="007F0E54"/>
    <w:rsid w:val="0080287A"/>
    <w:rsid w:val="008035FB"/>
    <w:rsid w:val="00821C5D"/>
    <w:rsid w:val="00837DB5"/>
    <w:rsid w:val="00843B72"/>
    <w:rsid w:val="00844FDE"/>
    <w:rsid w:val="00862748"/>
    <w:rsid w:val="00882F37"/>
    <w:rsid w:val="008D7AF4"/>
    <w:rsid w:val="008E0927"/>
    <w:rsid w:val="008E3240"/>
    <w:rsid w:val="008F5058"/>
    <w:rsid w:val="00902611"/>
    <w:rsid w:val="009035F0"/>
    <w:rsid w:val="00924C27"/>
    <w:rsid w:val="00931A96"/>
    <w:rsid w:val="00940B21"/>
    <w:rsid w:val="00944727"/>
    <w:rsid w:val="009615CF"/>
    <w:rsid w:val="00964061"/>
    <w:rsid w:val="009773BE"/>
    <w:rsid w:val="00991131"/>
    <w:rsid w:val="009B1383"/>
    <w:rsid w:val="009C5933"/>
    <w:rsid w:val="009E3FA4"/>
    <w:rsid w:val="009E6037"/>
    <w:rsid w:val="009F3532"/>
    <w:rsid w:val="00A0425F"/>
    <w:rsid w:val="00A04C6F"/>
    <w:rsid w:val="00A14F06"/>
    <w:rsid w:val="00A2006A"/>
    <w:rsid w:val="00A309E8"/>
    <w:rsid w:val="00A47765"/>
    <w:rsid w:val="00A6620D"/>
    <w:rsid w:val="00A726DA"/>
    <w:rsid w:val="00A92D31"/>
    <w:rsid w:val="00A953FA"/>
    <w:rsid w:val="00AA0E26"/>
    <w:rsid w:val="00AB53C7"/>
    <w:rsid w:val="00AD2A37"/>
    <w:rsid w:val="00AD427F"/>
    <w:rsid w:val="00AD5346"/>
    <w:rsid w:val="00AE166E"/>
    <w:rsid w:val="00AF6FCF"/>
    <w:rsid w:val="00B0041E"/>
    <w:rsid w:val="00B17989"/>
    <w:rsid w:val="00B42EF4"/>
    <w:rsid w:val="00B66C94"/>
    <w:rsid w:val="00B8535E"/>
    <w:rsid w:val="00B87CEC"/>
    <w:rsid w:val="00B9793F"/>
    <w:rsid w:val="00BF5292"/>
    <w:rsid w:val="00BF6967"/>
    <w:rsid w:val="00C07277"/>
    <w:rsid w:val="00C12526"/>
    <w:rsid w:val="00C139DA"/>
    <w:rsid w:val="00C1712B"/>
    <w:rsid w:val="00C34943"/>
    <w:rsid w:val="00C6496D"/>
    <w:rsid w:val="00C91917"/>
    <w:rsid w:val="00C95FDD"/>
    <w:rsid w:val="00C9727C"/>
    <w:rsid w:val="00CA010B"/>
    <w:rsid w:val="00CB25EB"/>
    <w:rsid w:val="00CB3A42"/>
    <w:rsid w:val="00CB75FA"/>
    <w:rsid w:val="00D001D9"/>
    <w:rsid w:val="00D4217C"/>
    <w:rsid w:val="00D422E6"/>
    <w:rsid w:val="00D47D1C"/>
    <w:rsid w:val="00D7759A"/>
    <w:rsid w:val="00D86DD6"/>
    <w:rsid w:val="00D94F29"/>
    <w:rsid w:val="00D97732"/>
    <w:rsid w:val="00DA05F4"/>
    <w:rsid w:val="00DD3CD3"/>
    <w:rsid w:val="00DF5CFC"/>
    <w:rsid w:val="00E225CE"/>
    <w:rsid w:val="00E22721"/>
    <w:rsid w:val="00E24D59"/>
    <w:rsid w:val="00E26EBE"/>
    <w:rsid w:val="00E404E0"/>
    <w:rsid w:val="00E45F8F"/>
    <w:rsid w:val="00E85C72"/>
    <w:rsid w:val="00E8714B"/>
    <w:rsid w:val="00EA025E"/>
    <w:rsid w:val="00EB5425"/>
    <w:rsid w:val="00EB553F"/>
    <w:rsid w:val="00EC35DC"/>
    <w:rsid w:val="00EF2A98"/>
    <w:rsid w:val="00F010EF"/>
    <w:rsid w:val="00F04EB7"/>
    <w:rsid w:val="00F12090"/>
    <w:rsid w:val="00F409D4"/>
    <w:rsid w:val="00F40D13"/>
    <w:rsid w:val="00F64C5C"/>
    <w:rsid w:val="00F73749"/>
    <w:rsid w:val="00F91B62"/>
    <w:rsid w:val="00F93459"/>
    <w:rsid w:val="00FA635F"/>
    <w:rsid w:val="00FB4BD4"/>
    <w:rsid w:val="00FF1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2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927"/>
    <w:rPr>
      <w:color w:val="0000FF"/>
      <w:u w:val="single"/>
    </w:rPr>
  </w:style>
  <w:style w:type="character" w:styleId="FollowedHyperlink">
    <w:name w:val="FollowedHyperlink"/>
    <w:basedOn w:val="DefaultParagraphFont"/>
    <w:uiPriority w:val="99"/>
    <w:semiHidden/>
    <w:unhideWhenUsed/>
    <w:rsid w:val="008E0927"/>
    <w:rPr>
      <w:color w:val="800080"/>
      <w:u w:val="single"/>
    </w:rPr>
  </w:style>
  <w:style w:type="paragraph" w:styleId="NormalWeb">
    <w:name w:val="Normal (Web)"/>
    <w:basedOn w:val="Normal"/>
    <w:uiPriority w:val="99"/>
    <w:unhideWhenUsed/>
    <w:rsid w:val="008E0927"/>
    <w:pPr>
      <w:ind w:firstLine="567"/>
      <w:jc w:val="both"/>
    </w:pPr>
  </w:style>
  <w:style w:type="paragraph" w:styleId="BalloonText">
    <w:name w:val="Balloon Text"/>
    <w:basedOn w:val="Normal"/>
    <w:link w:val="BalloonTextChar"/>
    <w:uiPriority w:val="99"/>
    <w:semiHidden/>
    <w:unhideWhenUsed/>
    <w:rsid w:val="008E0927"/>
  </w:style>
  <w:style w:type="character" w:customStyle="1" w:styleId="BalloonTextChar">
    <w:name w:val="Balloon Text Char"/>
    <w:basedOn w:val="DefaultParagraphFont"/>
    <w:link w:val="BalloonText"/>
    <w:uiPriority w:val="99"/>
    <w:semiHidden/>
    <w:locked/>
    <w:rsid w:val="008E0927"/>
    <w:rPr>
      <w:rFonts w:ascii="Tahoma" w:eastAsiaTheme="minorEastAsia" w:hAnsi="Tahoma" w:cs="Tahoma" w:hint="default"/>
      <w:sz w:val="16"/>
      <w:szCs w:val="16"/>
    </w:rPr>
  </w:style>
  <w:style w:type="paragraph" w:customStyle="1" w:styleId="forma">
    <w:name w:val="forma"/>
    <w:basedOn w:val="Normal"/>
    <w:uiPriority w:val="99"/>
    <w:rsid w:val="008E0927"/>
    <w:pPr>
      <w:ind w:firstLine="567"/>
      <w:jc w:val="both"/>
    </w:pPr>
    <w:rPr>
      <w:rFonts w:ascii="Arial" w:hAnsi="Arial" w:cs="Arial"/>
      <w:sz w:val="20"/>
      <w:szCs w:val="20"/>
    </w:rPr>
  </w:style>
  <w:style w:type="paragraph" w:customStyle="1" w:styleId="tt">
    <w:name w:val="tt"/>
    <w:basedOn w:val="Normal"/>
    <w:uiPriority w:val="99"/>
    <w:rsid w:val="008E0927"/>
    <w:pPr>
      <w:jc w:val="center"/>
    </w:pPr>
    <w:rPr>
      <w:b/>
      <w:bCs/>
    </w:rPr>
  </w:style>
  <w:style w:type="paragraph" w:customStyle="1" w:styleId="pb">
    <w:name w:val="pb"/>
    <w:basedOn w:val="Normal"/>
    <w:uiPriority w:val="99"/>
    <w:rsid w:val="008E0927"/>
    <w:pPr>
      <w:jc w:val="center"/>
    </w:pPr>
    <w:rPr>
      <w:i/>
      <w:iCs/>
      <w:color w:val="663300"/>
      <w:sz w:val="20"/>
      <w:szCs w:val="20"/>
    </w:rPr>
  </w:style>
  <w:style w:type="paragraph" w:customStyle="1" w:styleId="cu">
    <w:name w:val="cu"/>
    <w:basedOn w:val="Normal"/>
    <w:uiPriority w:val="99"/>
    <w:rsid w:val="008E0927"/>
    <w:pPr>
      <w:spacing w:before="45"/>
      <w:ind w:left="1134" w:right="567" w:hanging="567"/>
      <w:jc w:val="both"/>
    </w:pPr>
    <w:rPr>
      <w:sz w:val="20"/>
      <w:szCs w:val="20"/>
    </w:rPr>
  </w:style>
  <w:style w:type="paragraph" w:customStyle="1" w:styleId="cut">
    <w:name w:val="cut"/>
    <w:basedOn w:val="Normal"/>
    <w:uiPriority w:val="99"/>
    <w:rsid w:val="008E0927"/>
    <w:pPr>
      <w:ind w:left="567" w:right="567" w:firstLine="567"/>
      <w:jc w:val="center"/>
    </w:pPr>
    <w:rPr>
      <w:b/>
      <w:bCs/>
      <w:sz w:val="20"/>
      <w:szCs w:val="20"/>
    </w:rPr>
  </w:style>
  <w:style w:type="paragraph" w:customStyle="1" w:styleId="cp">
    <w:name w:val="cp"/>
    <w:basedOn w:val="Normal"/>
    <w:uiPriority w:val="99"/>
    <w:rsid w:val="008E0927"/>
    <w:pPr>
      <w:jc w:val="center"/>
    </w:pPr>
    <w:rPr>
      <w:b/>
      <w:bCs/>
    </w:rPr>
  </w:style>
  <w:style w:type="paragraph" w:customStyle="1" w:styleId="nt">
    <w:name w:val="nt"/>
    <w:basedOn w:val="Normal"/>
    <w:uiPriority w:val="99"/>
    <w:rsid w:val="008E0927"/>
    <w:pPr>
      <w:ind w:left="567" w:right="567" w:hanging="567"/>
      <w:jc w:val="both"/>
    </w:pPr>
    <w:rPr>
      <w:i/>
      <w:iCs/>
      <w:color w:val="663300"/>
      <w:sz w:val="20"/>
      <w:szCs w:val="20"/>
    </w:rPr>
  </w:style>
  <w:style w:type="paragraph" w:customStyle="1" w:styleId="md">
    <w:name w:val="md"/>
    <w:basedOn w:val="Normal"/>
    <w:uiPriority w:val="99"/>
    <w:rsid w:val="008E0927"/>
    <w:pPr>
      <w:ind w:firstLine="567"/>
      <w:jc w:val="both"/>
    </w:pPr>
    <w:rPr>
      <w:i/>
      <w:iCs/>
      <w:color w:val="663300"/>
      <w:sz w:val="20"/>
      <w:szCs w:val="20"/>
    </w:rPr>
  </w:style>
  <w:style w:type="paragraph" w:customStyle="1" w:styleId="sm">
    <w:name w:val="sm"/>
    <w:basedOn w:val="Normal"/>
    <w:uiPriority w:val="99"/>
    <w:rsid w:val="008E0927"/>
    <w:pPr>
      <w:ind w:firstLine="567"/>
    </w:pPr>
    <w:rPr>
      <w:b/>
      <w:bCs/>
      <w:sz w:val="20"/>
      <w:szCs w:val="20"/>
    </w:rPr>
  </w:style>
  <w:style w:type="paragraph" w:customStyle="1" w:styleId="cn">
    <w:name w:val="cn"/>
    <w:basedOn w:val="Normal"/>
    <w:uiPriority w:val="99"/>
    <w:rsid w:val="008E0927"/>
    <w:pPr>
      <w:jc w:val="center"/>
    </w:pPr>
  </w:style>
  <w:style w:type="paragraph" w:customStyle="1" w:styleId="cb">
    <w:name w:val="cb"/>
    <w:basedOn w:val="Normal"/>
    <w:uiPriority w:val="99"/>
    <w:rsid w:val="008E0927"/>
    <w:pPr>
      <w:jc w:val="center"/>
    </w:pPr>
    <w:rPr>
      <w:b/>
      <w:bCs/>
    </w:rPr>
  </w:style>
  <w:style w:type="paragraph" w:customStyle="1" w:styleId="rg">
    <w:name w:val="rg"/>
    <w:basedOn w:val="Normal"/>
    <w:uiPriority w:val="99"/>
    <w:rsid w:val="008E0927"/>
    <w:pPr>
      <w:jc w:val="right"/>
    </w:pPr>
  </w:style>
  <w:style w:type="paragraph" w:customStyle="1" w:styleId="js">
    <w:name w:val="js"/>
    <w:basedOn w:val="Normal"/>
    <w:uiPriority w:val="99"/>
    <w:rsid w:val="008E0927"/>
    <w:pPr>
      <w:jc w:val="both"/>
    </w:pPr>
  </w:style>
  <w:style w:type="paragraph" w:customStyle="1" w:styleId="lf">
    <w:name w:val="lf"/>
    <w:basedOn w:val="Normal"/>
    <w:uiPriority w:val="99"/>
    <w:rsid w:val="008E0927"/>
  </w:style>
  <w:style w:type="character" w:customStyle="1" w:styleId="TextnBalonCaracter">
    <w:name w:val="Text în Balon Caracter"/>
    <w:basedOn w:val="DefaultParagraphFont"/>
    <w:link w:val="TextnBalon"/>
    <w:uiPriority w:val="99"/>
    <w:semiHidden/>
    <w:locked/>
    <w:rsid w:val="008E0927"/>
    <w:rPr>
      <w:rFonts w:ascii="Tahoma" w:eastAsiaTheme="minorEastAsia" w:hAnsi="Tahoma" w:cs="Tahoma" w:hint="default"/>
      <w:sz w:val="16"/>
      <w:szCs w:val="16"/>
    </w:rPr>
  </w:style>
  <w:style w:type="paragraph" w:customStyle="1" w:styleId="TextnBalon">
    <w:name w:val="Text în Balon"/>
    <w:basedOn w:val="Normal"/>
    <w:link w:val="TextnBalonCaracter"/>
    <w:uiPriority w:val="99"/>
    <w:rsid w:val="008E0927"/>
  </w:style>
  <w:style w:type="character" w:styleId="PlaceholderText">
    <w:name w:val="Placeholder Text"/>
    <w:basedOn w:val="DefaultParagraphFont"/>
    <w:uiPriority w:val="99"/>
    <w:semiHidden/>
    <w:rsid w:val="008E0927"/>
    <w:rPr>
      <w:color w:val="808080"/>
    </w:rPr>
  </w:style>
  <w:style w:type="table" w:customStyle="1" w:styleId="TabelNormal">
    <w:name w:val="Tabel Normal"/>
    <w:uiPriority w:val="99"/>
    <w:semiHidden/>
    <w:qFormat/>
    <w:rsid w:val="008E0927"/>
    <w:tblPr>
      <w:tblCellMar>
        <w:top w:w="0" w:type="dxa"/>
        <w:left w:w="108" w:type="dxa"/>
        <w:bottom w:w="0" w:type="dxa"/>
        <w:right w:w="108" w:type="dxa"/>
      </w:tblCellMar>
    </w:tblPr>
  </w:style>
  <w:style w:type="paragraph" w:styleId="Header">
    <w:name w:val="header"/>
    <w:basedOn w:val="Normal"/>
    <w:link w:val="HeaderChar"/>
    <w:uiPriority w:val="99"/>
    <w:unhideWhenUsed/>
    <w:rsid w:val="00B9793F"/>
    <w:pPr>
      <w:tabs>
        <w:tab w:val="center" w:pos="4677"/>
        <w:tab w:val="right" w:pos="9355"/>
      </w:tabs>
    </w:pPr>
  </w:style>
  <w:style w:type="character" w:customStyle="1" w:styleId="HeaderChar">
    <w:name w:val="Header Char"/>
    <w:basedOn w:val="DefaultParagraphFont"/>
    <w:link w:val="Header"/>
    <w:uiPriority w:val="99"/>
    <w:rsid w:val="00B9793F"/>
    <w:rPr>
      <w:rFonts w:eastAsiaTheme="minorEastAsia"/>
      <w:sz w:val="24"/>
      <w:szCs w:val="24"/>
    </w:rPr>
  </w:style>
  <w:style w:type="paragraph" w:styleId="Footer">
    <w:name w:val="footer"/>
    <w:basedOn w:val="Normal"/>
    <w:link w:val="FooterChar"/>
    <w:uiPriority w:val="99"/>
    <w:unhideWhenUsed/>
    <w:rsid w:val="00B9793F"/>
    <w:pPr>
      <w:tabs>
        <w:tab w:val="center" w:pos="4677"/>
        <w:tab w:val="right" w:pos="9355"/>
      </w:tabs>
    </w:pPr>
  </w:style>
  <w:style w:type="character" w:customStyle="1" w:styleId="FooterChar">
    <w:name w:val="Footer Char"/>
    <w:basedOn w:val="DefaultParagraphFont"/>
    <w:link w:val="Footer"/>
    <w:uiPriority w:val="99"/>
    <w:rsid w:val="00B9793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2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927"/>
    <w:rPr>
      <w:color w:val="0000FF"/>
      <w:u w:val="single"/>
    </w:rPr>
  </w:style>
  <w:style w:type="character" w:styleId="a4">
    <w:name w:val="FollowedHyperlink"/>
    <w:basedOn w:val="a0"/>
    <w:uiPriority w:val="99"/>
    <w:semiHidden/>
    <w:unhideWhenUsed/>
    <w:rsid w:val="008E0927"/>
    <w:rPr>
      <w:color w:val="800080"/>
      <w:u w:val="single"/>
    </w:rPr>
  </w:style>
  <w:style w:type="paragraph" w:styleId="a5">
    <w:name w:val="Normal (Web)"/>
    <w:basedOn w:val="a"/>
    <w:uiPriority w:val="99"/>
    <w:unhideWhenUsed/>
    <w:rsid w:val="008E0927"/>
    <w:pPr>
      <w:ind w:firstLine="567"/>
      <w:jc w:val="both"/>
    </w:pPr>
  </w:style>
  <w:style w:type="paragraph" w:styleId="a6">
    <w:name w:val="Balloon Text"/>
    <w:basedOn w:val="a"/>
    <w:link w:val="a7"/>
    <w:uiPriority w:val="99"/>
    <w:semiHidden/>
    <w:unhideWhenUsed/>
    <w:rsid w:val="008E0927"/>
  </w:style>
  <w:style w:type="character" w:customStyle="1" w:styleId="a7">
    <w:name w:val="Текст выноски Знак"/>
    <w:basedOn w:val="a0"/>
    <w:link w:val="a6"/>
    <w:uiPriority w:val="99"/>
    <w:semiHidden/>
    <w:locked/>
    <w:rsid w:val="008E0927"/>
    <w:rPr>
      <w:rFonts w:ascii="Tahoma" w:eastAsiaTheme="minorEastAsia" w:hAnsi="Tahoma" w:cs="Tahoma" w:hint="default"/>
      <w:sz w:val="16"/>
      <w:szCs w:val="16"/>
    </w:rPr>
  </w:style>
  <w:style w:type="paragraph" w:customStyle="1" w:styleId="forma">
    <w:name w:val="forma"/>
    <w:basedOn w:val="a"/>
    <w:uiPriority w:val="99"/>
    <w:rsid w:val="008E0927"/>
    <w:pPr>
      <w:ind w:firstLine="567"/>
      <w:jc w:val="both"/>
    </w:pPr>
    <w:rPr>
      <w:rFonts w:ascii="Arial" w:hAnsi="Arial" w:cs="Arial"/>
      <w:sz w:val="20"/>
      <w:szCs w:val="20"/>
    </w:rPr>
  </w:style>
  <w:style w:type="paragraph" w:customStyle="1" w:styleId="tt">
    <w:name w:val="tt"/>
    <w:basedOn w:val="a"/>
    <w:uiPriority w:val="99"/>
    <w:rsid w:val="008E0927"/>
    <w:pPr>
      <w:jc w:val="center"/>
    </w:pPr>
    <w:rPr>
      <w:b/>
      <w:bCs/>
    </w:rPr>
  </w:style>
  <w:style w:type="paragraph" w:customStyle="1" w:styleId="pb">
    <w:name w:val="pb"/>
    <w:basedOn w:val="a"/>
    <w:uiPriority w:val="99"/>
    <w:rsid w:val="008E0927"/>
    <w:pPr>
      <w:jc w:val="center"/>
    </w:pPr>
    <w:rPr>
      <w:i/>
      <w:iCs/>
      <w:color w:val="663300"/>
      <w:sz w:val="20"/>
      <w:szCs w:val="20"/>
    </w:rPr>
  </w:style>
  <w:style w:type="paragraph" w:customStyle="1" w:styleId="cu">
    <w:name w:val="cu"/>
    <w:basedOn w:val="a"/>
    <w:uiPriority w:val="99"/>
    <w:rsid w:val="008E0927"/>
    <w:pPr>
      <w:spacing w:before="45"/>
      <w:ind w:left="1134" w:right="567" w:hanging="567"/>
      <w:jc w:val="both"/>
    </w:pPr>
    <w:rPr>
      <w:sz w:val="20"/>
      <w:szCs w:val="20"/>
    </w:rPr>
  </w:style>
  <w:style w:type="paragraph" w:customStyle="1" w:styleId="cut">
    <w:name w:val="cut"/>
    <w:basedOn w:val="a"/>
    <w:uiPriority w:val="99"/>
    <w:rsid w:val="008E0927"/>
    <w:pPr>
      <w:ind w:left="567" w:right="567" w:firstLine="567"/>
      <w:jc w:val="center"/>
    </w:pPr>
    <w:rPr>
      <w:b/>
      <w:bCs/>
      <w:sz w:val="20"/>
      <w:szCs w:val="20"/>
    </w:rPr>
  </w:style>
  <w:style w:type="paragraph" w:customStyle="1" w:styleId="cp">
    <w:name w:val="cp"/>
    <w:basedOn w:val="a"/>
    <w:uiPriority w:val="99"/>
    <w:rsid w:val="008E0927"/>
    <w:pPr>
      <w:jc w:val="center"/>
    </w:pPr>
    <w:rPr>
      <w:b/>
      <w:bCs/>
    </w:rPr>
  </w:style>
  <w:style w:type="paragraph" w:customStyle="1" w:styleId="nt">
    <w:name w:val="nt"/>
    <w:basedOn w:val="a"/>
    <w:uiPriority w:val="99"/>
    <w:rsid w:val="008E0927"/>
    <w:pPr>
      <w:ind w:left="567" w:right="567" w:hanging="567"/>
      <w:jc w:val="both"/>
    </w:pPr>
    <w:rPr>
      <w:i/>
      <w:iCs/>
      <w:color w:val="663300"/>
      <w:sz w:val="20"/>
      <w:szCs w:val="20"/>
    </w:rPr>
  </w:style>
  <w:style w:type="paragraph" w:customStyle="1" w:styleId="md">
    <w:name w:val="md"/>
    <w:basedOn w:val="a"/>
    <w:uiPriority w:val="99"/>
    <w:rsid w:val="008E0927"/>
    <w:pPr>
      <w:ind w:firstLine="567"/>
      <w:jc w:val="both"/>
    </w:pPr>
    <w:rPr>
      <w:i/>
      <w:iCs/>
      <w:color w:val="663300"/>
      <w:sz w:val="20"/>
      <w:szCs w:val="20"/>
    </w:rPr>
  </w:style>
  <w:style w:type="paragraph" w:customStyle="1" w:styleId="sm">
    <w:name w:val="sm"/>
    <w:basedOn w:val="a"/>
    <w:uiPriority w:val="99"/>
    <w:rsid w:val="008E0927"/>
    <w:pPr>
      <w:ind w:firstLine="567"/>
    </w:pPr>
    <w:rPr>
      <w:b/>
      <w:bCs/>
      <w:sz w:val="20"/>
      <w:szCs w:val="20"/>
    </w:rPr>
  </w:style>
  <w:style w:type="paragraph" w:customStyle="1" w:styleId="cn">
    <w:name w:val="cn"/>
    <w:basedOn w:val="a"/>
    <w:uiPriority w:val="99"/>
    <w:rsid w:val="008E0927"/>
    <w:pPr>
      <w:jc w:val="center"/>
    </w:pPr>
  </w:style>
  <w:style w:type="paragraph" w:customStyle="1" w:styleId="cb">
    <w:name w:val="cb"/>
    <w:basedOn w:val="a"/>
    <w:uiPriority w:val="99"/>
    <w:rsid w:val="008E0927"/>
    <w:pPr>
      <w:jc w:val="center"/>
    </w:pPr>
    <w:rPr>
      <w:b/>
      <w:bCs/>
    </w:rPr>
  </w:style>
  <w:style w:type="paragraph" w:customStyle="1" w:styleId="rg">
    <w:name w:val="rg"/>
    <w:basedOn w:val="a"/>
    <w:uiPriority w:val="99"/>
    <w:rsid w:val="008E0927"/>
    <w:pPr>
      <w:jc w:val="right"/>
    </w:pPr>
  </w:style>
  <w:style w:type="paragraph" w:customStyle="1" w:styleId="js">
    <w:name w:val="js"/>
    <w:basedOn w:val="a"/>
    <w:uiPriority w:val="99"/>
    <w:rsid w:val="008E0927"/>
    <w:pPr>
      <w:jc w:val="both"/>
    </w:pPr>
  </w:style>
  <w:style w:type="paragraph" w:customStyle="1" w:styleId="lf">
    <w:name w:val="lf"/>
    <w:basedOn w:val="a"/>
    <w:uiPriority w:val="99"/>
    <w:rsid w:val="008E0927"/>
  </w:style>
  <w:style w:type="character" w:customStyle="1" w:styleId="TextnBalonCaracter">
    <w:name w:val="Text în Balon Caracter"/>
    <w:basedOn w:val="a0"/>
    <w:link w:val="TextnBalon"/>
    <w:uiPriority w:val="99"/>
    <w:semiHidden/>
    <w:locked/>
    <w:rsid w:val="008E0927"/>
    <w:rPr>
      <w:rFonts w:ascii="Tahoma" w:eastAsiaTheme="minorEastAsia" w:hAnsi="Tahoma" w:cs="Tahoma" w:hint="default"/>
      <w:sz w:val="16"/>
      <w:szCs w:val="16"/>
    </w:rPr>
  </w:style>
  <w:style w:type="paragraph" w:customStyle="1" w:styleId="TextnBalon">
    <w:name w:val="Text în Balon"/>
    <w:basedOn w:val="a"/>
    <w:link w:val="TextnBalonCaracter"/>
    <w:uiPriority w:val="99"/>
    <w:rsid w:val="008E0927"/>
  </w:style>
  <w:style w:type="character" w:styleId="a8">
    <w:name w:val="Placeholder Text"/>
    <w:basedOn w:val="a0"/>
    <w:uiPriority w:val="99"/>
    <w:semiHidden/>
    <w:rsid w:val="008E0927"/>
    <w:rPr>
      <w:color w:val="808080"/>
    </w:rPr>
  </w:style>
  <w:style w:type="table" w:customStyle="1" w:styleId="TabelNormal">
    <w:name w:val="Tabel Normal"/>
    <w:uiPriority w:val="99"/>
    <w:semiHidden/>
    <w:qFormat/>
    <w:rsid w:val="008E0927"/>
    <w:tblPr>
      <w:tblCellMar>
        <w:top w:w="0" w:type="dxa"/>
        <w:left w:w="108" w:type="dxa"/>
        <w:bottom w:w="0" w:type="dxa"/>
        <w:right w:w="108" w:type="dxa"/>
      </w:tblCellMar>
    </w:tblPr>
  </w:style>
  <w:style w:type="paragraph" w:styleId="a9">
    <w:name w:val="header"/>
    <w:basedOn w:val="a"/>
    <w:link w:val="aa"/>
    <w:uiPriority w:val="99"/>
    <w:unhideWhenUsed/>
    <w:rsid w:val="00B9793F"/>
    <w:pPr>
      <w:tabs>
        <w:tab w:val="center" w:pos="4677"/>
        <w:tab w:val="right" w:pos="9355"/>
      </w:tabs>
    </w:pPr>
  </w:style>
  <w:style w:type="character" w:customStyle="1" w:styleId="aa">
    <w:name w:val="Верхний колонтитул Знак"/>
    <w:basedOn w:val="a0"/>
    <w:link w:val="a9"/>
    <w:uiPriority w:val="99"/>
    <w:rsid w:val="00B9793F"/>
    <w:rPr>
      <w:rFonts w:eastAsiaTheme="minorEastAsia"/>
      <w:sz w:val="24"/>
      <w:szCs w:val="24"/>
    </w:rPr>
  </w:style>
  <w:style w:type="paragraph" w:styleId="ab">
    <w:name w:val="footer"/>
    <w:basedOn w:val="a"/>
    <w:link w:val="ac"/>
    <w:uiPriority w:val="99"/>
    <w:unhideWhenUsed/>
    <w:rsid w:val="00B9793F"/>
    <w:pPr>
      <w:tabs>
        <w:tab w:val="center" w:pos="4677"/>
        <w:tab w:val="right" w:pos="9355"/>
      </w:tabs>
    </w:pPr>
  </w:style>
  <w:style w:type="character" w:customStyle="1" w:styleId="ac">
    <w:name w:val="Нижний колонтитул Знак"/>
    <w:basedOn w:val="a0"/>
    <w:link w:val="ab"/>
    <w:uiPriority w:val="99"/>
    <w:rsid w:val="00B9793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DEA5200508301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lex:LPLP199704241163" TargetMode="External"/><Relationship Id="rId4" Type="http://schemas.openxmlformats.org/officeDocument/2006/relationships/footnotes" Target="footnotes.xml"/><Relationship Id="rId9" Type="http://schemas.openxmlformats.org/officeDocument/2006/relationships/hyperlink" Target="lex:LPLP19970424116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7849</Words>
  <Characters>44742</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Ursu</dc:creator>
  <cp:lastModifiedBy>marcela.mazarenco</cp:lastModifiedBy>
  <cp:revision>2</cp:revision>
  <cp:lastPrinted>2018-02-23T13:49:00Z</cp:lastPrinted>
  <dcterms:created xsi:type="dcterms:W3CDTF">2018-03-15T14:28:00Z</dcterms:created>
  <dcterms:modified xsi:type="dcterms:W3CDTF">2018-03-15T14:28:00Z</dcterms:modified>
</cp:coreProperties>
</file>