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7" w:rsidRPr="009104BE" w:rsidRDefault="00C678F7" w:rsidP="001849A7">
      <w:pPr>
        <w:pStyle w:val="NormalWeb"/>
        <w:jc w:val="right"/>
        <w:rPr>
          <w:b/>
          <w:lang w:val="ro-RO"/>
        </w:rPr>
      </w:pPr>
      <w:r w:rsidRPr="009104BE">
        <w:rPr>
          <w:b/>
          <w:lang w:val="ro-RO"/>
        </w:rPr>
        <w:t xml:space="preserve">Aprobată </w:t>
      </w:r>
    </w:p>
    <w:p w:rsidR="00C678F7" w:rsidRPr="009104BE" w:rsidRDefault="00C678F7" w:rsidP="001849A7">
      <w:pPr>
        <w:pStyle w:val="NormalWeb"/>
        <w:tabs>
          <w:tab w:val="left" w:pos="6663"/>
        </w:tabs>
        <w:jc w:val="right"/>
        <w:rPr>
          <w:lang w:val="ro-RO"/>
        </w:rPr>
      </w:pPr>
      <w:r w:rsidRPr="009104BE">
        <w:rPr>
          <w:lang w:val="ro-RO"/>
        </w:rPr>
        <w:t xml:space="preserve">                                                                                                    prin Hotărârea Consiliului </w:t>
      </w:r>
    </w:p>
    <w:p w:rsidR="00C678F7" w:rsidRPr="009104BE" w:rsidRDefault="00C678F7" w:rsidP="001849A7">
      <w:pPr>
        <w:pStyle w:val="NormalWeb"/>
        <w:jc w:val="right"/>
        <w:rPr>
          <w:lang w:val="ro-RO"/>
        </w:rPr>
      </w:pPr>
      <w:r w:rsidRPr="009104BE">
        <w:rPr>
          <w:lang w:val="ro-RO"/>
        </w:rPr>
        <w:t xml:space="preserve">                                                                                                    de Administraţie al ANRE</w:t>
      </w:r>
    </w:p>
    <w:p w:rsidR="00C678F7" w:rsidRPr="009104BE" w:rsidRDefault="00C678F7" w:rsidP="001849A7">
      <w:pPr>
        <w:pStyle w:val="NormalWeb"/>
        <w:jc w:val="right"/>
        <w:rPr>
          <w:lang w:val="ro-RO"/>
        </w:rPr>
      </w:pPr>
      <w:r w:rsidRPr="009104BE">
        <w:rPr>
          <w:lang w:val="ro-RO"/>
        </w:rPr>
        <w:t xml:space="preserve">                                                                                                    nr. </w:t>
      </w:r>
      <w:r w:rsidR="001849A7">
        <w:rPr>
          <w:lang w:val="ro-RO"/>
        </w:rPr>
        <w:t xml:space="preserve">65 </w:t>
      </w:r>
      <w:r w:rsidRPr="009104BE">
        <w:rPr>
          <w:lang w:val="ro-RO"/>
        </w:rPr>
        <w:t>/2018 din 23.02.2018</w:t>
      </w:r>
    </w:p>
    <w:p w:rsidR="00C678F7" w:rsidRPr="009104BE" w:rsidRDefault="00C678F7" w:rsidP="00C678F7">
      <w:pPr>
        <w:pStyle w:val="NormalWeb"/>
        <w:rPr>
          <w:lang w:val="ro-RO"/>
        </w:rPr>
      </w:pPr>
      <w:bookmarkStart w:id="0" w:name="_GoBack"/>
      <w:bookmarkEnd w:id="0"/>
    </w:p>
    <w:p w:rsidR="00E63401" w:rsidRPr="00C678F7" w:rsidRDefault="00E63401" w:rsidP="00E63401">
      <w:pPr>
        <w:pStyle w:val="cp"/>
        <w:ind w:firstLine="709"/>
        <w:rPr>
          <w:b w:val="0"/>
          <w:lang w:val="en-US"/>
        </w:rPr>
      </w:pPr>
    </w:p>
    <w:p w:rsidR="004763A4" w:rsidRDefault="004763A4" w:rsidP="00E63401">
      <w:pPr>
        <w:pStyle w:val="cp"/>
        <w:ind w:firstLine="709"/>
      </w:pPr>
      <w:r>
        <w:t>METODOLOGIA</w:t>
      </w:r>
    </w:p>
    <w:p w:rsidR="004763A4" w:rsidRDefault="004763A4" w:rsidP="00E63401">
      <w:pPr>
        <w:pStyle w:val="NormalWeb"/>
        <w:ind w:firstLine="709"/>
        <w:jc w:val="center"/>
        <w:rPr>
          <w:b/>
          <w:lang w:val="ro-RO"/>
        </w:rPr>
      </w:pPr>
      <w:r>
        <w:rPr>
          <w:b/>
        </w:rPr>
        <w:t xml:space="preserve">de calculare, aprobare </w:t>
      </w:r>
      <w:r w:rsidR="00972962">
        <w:rPr>
          <w:b/>
        </w:rPr>
        <w:t>ș</w:t>
      </w:r>
      <w:r>
        <w:rPr>
          <w:b/>
        </w:rPr>
        <w:t xml:space="preserve">i </w:t>
      </w:r>
      <w:r w:rsidR="00E63401">
        <w:rPr>
          <w:b/>
        </w:rPr>
        <w:t>aplicare</w:t>
      </w:r>
      <w:r>
        <w:rPr>
          <w:b/>
        </w:rPr>
        <w:t xml:space="preserve"> a </w:t>
      </w:r>
      <w:r>
        <w:rPr>
          <w:b/>
          <w:lang w:val="ro-RO"/>
        </w:rPr>
        <w:t>pre</w:t>
      </w:r>
      <w:r w:rsidR="00972962">
        <w:rPr>
          <w:b/>
          <w:lang w:val="ro-RO"/>
        </w:rPr>
        <w:t>ț</w:t>
      </w:r>
      <w:r>
        <w:rPr>
          <w:b/>
          <w:lang w:val="ro-RO"/>
        </w:rPr>
        <w:t>urilor reglementate</w:t>
      </w:r>
    </w:p>
    <w:p w:rsidR="004763A4" w:rsidRDefault="004763A4" w:rsidP="00E63401">
      <w:pPr>
        <w:pStyle w:val="NormalWeb"/>
        <w:ind w:firstLine="709"/>
        <w:jc w:val="center"/>
        <w:rPr>
          <w:b/>
          <w:lang w:val="ro-RO"/>
        </w:rPr>
      </w:pPr>
      <w:r>
        <w:rPr>
          <w:b/>
          <w:lang w:val="ro-RO"/>
        </w:rPr>
        <w:t>pentru furnizarea energiei electrice de către furnizorul de ultimă op</w:t>
      </w:r>
      <w:r w:rsidR="00972962">
        <w:rPr>
          <w:b/>
          <w:lang w:val="ro-RO"/>
        </w:rPr>
        <w:t>ț</w:t>
      </w:r>
      <w:r>
        <w:rPr>
          <w:b/>
          <w:lang w:val="ro-RO"/>
        </w:rPr>
        <w:t>iune</w:t>
      </w:r>
    </w:p>
    <w:p w:rsidR="004763A4" w:rsidRDefault="00972962" w:rsidP="00E63401">
      <w:pPr>
        <w:pStyle w:val="NormalWeb"/>
        <w:ind w:firstLine="709"/>
        <w:jc w:val="center"/>
        <w:rPr>
          <w:b/>
          <w:lang w:val="ro-RO"/>
        </w:rPr>
      </w:pPr>
      <w:r>
        <w:rPr>
          <w:b/>
          <w:lang w:val="ro-RO"/>
        </w:rPr>
        <w:t>ș</w:t>
      </w:r>
      <w:r w:rsidR="004763A4">
        <w:rPr>
          <w:b/>
          <w:lang w:val="ro-RO"/>
        </w:rPr>
        <w:t>i furnizorul serviciului universal</w:t>
      </w:r>
    </w:p>
    <w:p w:rsidR="004763A4" w:rsidRDefault="004763A4" w:rsidP="00E63401">
      <w:pPr>
        <w:pStyle w:val="NormalWeb"/>
        <w:ind w:firstLine="709"/>
        <w:jc w:val="center"/>
      </w:pPr>
    </w:p>
    <w:p w:rsidR="0051256C" w:rsidRDefault="00972962" w:rsidP="00E63401">
      <w:pPr>
        <w:pStyle w:val="cp"/>
        <w:ind w:firstLine="709"/>
      </w:pPr>
      <w:r>
        <w:t>Secțiunea</w:t>
      </w:r>
      <w:r w:rsidR="00D62838">
        <w:t xml:space="preserve"> 1</w:t>
      </w:r>
    </w:p>
    <w:p w:rsidR="0051256C" w:rsidRDefault="00D62838" w:rsidP="00E63401">
      <w:pPr>
        <w:pStyle w:val="cp"/>
        <w:ind w:firstLine="709"/>
      </w:pPr>
      <w:r>
        <w:t>DISPOZI</w:t>
      </w:r>
      <w:r w:rsidR="00972962">
        <w:t>Ț</w:t>
      </w:r>
      <w:r>
        <w:t>II GENERALE</w:t>
      </w:r>
    </w:p>
    <w:p w:rsidR="0051256C" w:rsidRDefault="00D62838" w:rsidP="00125879">
      <w:pPr>
        <w:pStyle w:val="NormalWeb"/>
        <w:spacing w:after="120"/>
        <w:ind w:firstLine="709"/>
      </w:pPr>
      <w:r>
        <w:rPr>
          <w:b/>
          <w:bCs/>
        </w:rPr>
        <w:t>1.</w:t>
      </w:r>
      <w:r>
        <w:t xml:space="preserve"> Metodologia </w:t>
      </w:r>
      <w:r w:rsidR="00125879" w:rsidRPr="00125879">
        <w:t>de calculare, aprobare și aplicare a prețurilor reglementatepentru furnizarea energiei electrice de către furnizorul de ultimă opțiuneși furnizorul serviciului universal</w:t>
      </w:r>
      <w:r>
        <w:t xml:space="preserve"> (în continuare Metodologie) are ca scop stabilirea modului de calcul a</w:t>
      </w:r>
      <w:r w:rsidR="001864AE">
        <w:t>l</w:t>
      </w:r>
      <w:r>
        <w:t xml:space="preserve"> pre</w:t>
      </w:r>
      <w:r w:rsidR="00972962">
        <w:t>ț</w:t>
      </w:r>
      <w:r>
        <w:t>urilor reglementate pentru furnizarea energiei electrice de către furnizorii de energie electrică cărora le-a fost impusă obliga</w:t>
      </w:r>
      <w:r w:rsidR="00972962">
        <w:t>ț</w:t>
      </w:r>
      <w:r>
        <w:t xml:space="preserve">ia de serviciu public de a presta serviciu universal </w:t>
      </w:r>
      <w:r w:rsidR="00972962">
        <w:t>ș</w:t>
      </w:r>
      <w:r>
        <w:t>i/sau de a asigura furnizarea de ultimă op</w:t>
      </w:r>
      <w:r w:rsidR="00972962">
        <w:t>ț</w:t>
      </w:r>
      <w:r>
        <w:t>iune (în continuare – Furnizori).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2.</w:t>
      </w:r>
      <w:r>
        <w:t xml:space="preserve"> Metodologia stabile</w:t>
      </w:r>
      <w:r w:rsidR="00972962">
        <w:t>ș</w:t>
      </w:r>
      <w:r>
        <w:t>te:</w:t>
      </w:r>
    </w:p>
    <w:p w:rsidR="0051256C" w:rsidRDefault="00D62838" w:rsidP="00E63401">
      <w:pPr>
        <w:pStyle w:val="NormalWeb"/>
        <w:ind w:firstLine="709"/>
      </w:pPr>
      <w:r>
        <w:t xml:space="preserve">1) principiile </w:t>
      </w:r>
      <w:r w:rsidR="00972962">
        <w:t>ș</w:t>
      </w:r>
      <w:r>
        <w:t>i algoritmul de calcul al pre</w:t>
      </w:r>
      <w:r w:rsidR="00972962">
        <w:t>ț</w:t>
      </w:r>
      <w:r>
        <w:t>urilor reglementate de furnizare a energiei electrice;</w:t>
      </w:r>
    </w:p>
    <w:p w:rsidR="0051256C" w:rsidRDefault="00D62838" w:rsidP="00E63401">
      <w:pPr>
        <w:pStyle w:val="NormalWeb"/>
        <w:ind w:firstLine="709"/>
      </w:pPr>
      <w:r>
        <w:t xml:space="preserve">2) modul de determinare, de ajustare </w:t>
      </w:r>
      <w:r w:rsidR="00972962">
        <w:t>ș</w:t>
      </w:r>
      <w:r>
        <w:t>i de aprobare a pre</w:t>
      </w:r>
      <w:r w:rsidR="00972962">
        <w:t>ț</w:t>
      </w:r>
      <w:r>
        <w:t>urilor reglementate de furnizare a energiei electrice, diferen</w:t>
      </w:r>
      <w:r w:rsidR="00972962">
        <w:t>ț</w:t>
      </w:r>
      <w:r>
        <w:t>iate pe nivelele de tensiune ale re</w:t>
      </w:r>
      <w:r w:rsidR="00972962">
        <w:t>ț</w:t>
      </w:r>
      <w:r>
        <w:t>elelor electrice de distribu</w:t>
      </w:r>
      <w:r w:rsidR="00972962">
        <w:t>ț</w:t>
      </w:r>
      <w:r>
        <w:t xml:space="preserve">ie prin care se </w:t>
      </w:r>
      <w:r w:rsidR="00B0319B">
        <w:t>livrează</w:t>
      </w:r>
      <w:r>
        <w:t xml:space="preserve"> energie electrică consumatorilor finali, în func</w:t>
      </w:r>
      <w:r w:rsidR="00972962">
        <w:t>ț</w:t>
      </w:r>
      <w:r>
        <w:t xml:space="preserve">ie de zona de consum </w:t>
      </w:r>
      <w:r w:rsidR="00972962">
        <w:t>ș</w:t>
      </w:r>
      <w:r>
        <w:t>i de modul de achitare pentru energia electrică furnizată consumatorilor finali;</w:t>
      </w:r>
    </w:p>
    <w:p w:rsidR="0051256C" w:rsidRDefault="00D62838" w:rsidP="00E63401">
      <w:pPr>
        <w:pStyle w:val="NormalWeb"/>
        <w:ind w:firstLine="709"/>
      </w:pPr>
      <w:r>
        <w:t>3) componen</w:t>
      </w:r>
      <w:r w:rsidR="00972962">
        <w:t>ț</w:t>
      </w:r>
      <w:r>
        <w:t xml:space="preserve">a, modul de determinare </w:t>
      </w:r>
      <w:r w:rsidR="00972962">
        <w:t>ș</w:t>
      </w:r>
      <w:r>
        <w:t>i de includere în pre</w:t>
      </w:r>
      <w:r w:rsidR="00972962">
        <w:t>ț</w:t>
      </w:r>
      <w:r>
        <w:t xml:space="preserve">urile reglementate de furnizare a energiei electrice a </w:t>
      </w:r>
      <w:r w:rsidR="0092663B">
        <w:t>costuri</w:t>
      </w:r>
      <w:r>
        <w:t xml:space="preserve">lor </w:t>
      </w:r>
      <w:r w:rsidR="00972962">
        <w:t>ș</w:t>
      </w:r>
      <w:r>
        <w:t>i a cheltuielilor aferente doar activită</w:t>
      </w:r>
      <w:r w:rsidR="00972962">
        <w:t>ț</w:t>
      </w:r>
      <w:r>
        <w:t>ii de furnizare a energiei electrice în contextul obliga</w:t>
      </w:r>
      <w:r w:rsidR="00972962">
        <w:t>ț</w:t>
      </w:r>
      <w:r>
        <w:t xml:space="preserve">iei de serviciu public de a presta serviciu universal </w:t>
      </w:r>
      <w:r w:rsidR="00972962">
        <w:t>ș</w:t>
      </w:r>
      <w:r>
        <w:t>i/sau de a asigura furnizarea de ultimă op</w:t>
      </w:r>
      <w:r w:rsidR="00972962">
        <w:t>ț</w:t>
      </w:r>
      <w:r>
        <w:t>iune;</w:t>
      </w:r>
    </w:p>
    <w:p w:rsidR="0051256C" w:rsidRDefault="00D62838" w:rsidP="00E63401">
      <w:pPr>
        <w:pStyle w:val="NormalWeb"/>
        <w:ind w:firstLine="709"/>
      </w:pPr>
      <w:r>
        <w:t xml:space="preserve">4) modul de determinare a costului energiei electrice procurate, a cheltuielilor suportate în legătură cu prestarea Furnizorului a serviciului de transport </w:t>
      </w:r>
      <w:r w:rsidR="00972962">
        <w:t>ș</w:t>
      </w:r>
      <w:r>
        <w:t>i a serviciului de distribu</w:t>
      </w:r>
      <w:r w:rsidR="00972962">
        <w:t>ț</w:t>
      </w:r>
      <w:r>
        <w:t xml:space="preserve">ie a energiei electrice de către operatorul sistemului de transport </w:t>
      </w:r>
      <w:r w:rsidR="00972962">
        <w:t>ș</w:t>
      </w:r>
      <w:r>
        <w:t>i de operatorul sistemului de distribu</w:t>
      </w:r>
      <w:r w:rsidR="00972962">
        <w:t>ț</w:t>
      </w:r>
      <w:r>
        <w:t>ie;</w:t>
      </w:r>
    </w:p>
    <w:p w:rsidR="0051256C" w:rsidRDefault="00D62838" w:rsidP="00E63401">
      <w:pPr>
        <w:pStyle w:val="NormalWeb"/>
        <w:ind w:firstLine="709"/>
      </w:pPr>
      <w:r>
        <w:t xml:space="preserve">5) modul de determinare </w:t>
      </w:r>
      <w:r w:rsidR="00972962">
        <w:t>ș</w:t>
      </w:r>
      <w:r>
        <w:t xml:space="preserve">i de aprobare a costurilor </w:t>
      </w:r>
      <w:r w:rsidR="00972962">
        <w:t>ș</w:t>
      </w:r>
      <w:r>
        <w:t>i a cheltuielilor Furnizorului aferente doar activită</w:t>
      </w:r>
      <w:r w:rsidR="00972962">
        <w:t>ț</w:t>
      </w:r>
      <w:r>
        <w:t xml:space="preserve">ii de furnizare a energiei electrice pentru primul an de </w:t>
      </w:r>
      <w:r w:rsidR="00BC0C53">
        <w:t xml:space="preserve">aplicare </w:t>
      </w:r>
      <w:r>
        <w:t>a Metodologiei, anul de bază;</w:t>
      </w:r>
    </w:p>
    <w:p w:rsidR="0051256C" w:rsidRDefault="00D62838" w:rsidP="00E63401">
      <w:pPr>
        <w:pStyle w:val="NormalWeb"/>
        <w:ind w:firstLine="709"/>
      </w:pPr>
      <w:r>
        <w:t xml:space="preserve">6) modul de actualizare a costurilor </w:t>
      </w:r>
      <w:r w:rsidR="00972962">
        <w:t>ș</w:t>
      </w:r>
      <w:r>
        <w:t>i a cheltuielilor Furnizorului aferente activită</w:t>
      </w:r>
      <w:r w:rsidR="00972962">
        <w:t>ț</w:t>
      </w:r>
      <w:r>
        <w:t xml:space="preserve">ii de furnizare a energiei electrice pentru perioada ulterioară anului de bază.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p"/>
        <w:ind w:firstLine="709"/>
      </w:pPr>
      <w:r>
        <w:t>Sec</w:t>
      </w:r>
      <w:r w:rsidR="00972962">
        <w:t>ț</w:t>
      </w:r>
      <w:r>
        <w:t>iunea 2</w:t>
      </w:r>
    </w:p>
    <w:p w:rsidR="0051256C" w:rsidRDefault="00D62838" w:rsidP="00E63401">
      <w:pPr>
        <w:pStyle w:val="cp"/>
        <w:spacing w:after="120"/>
        <w:ind w:firstLine="709"/>
      </w:pPr>
      <w:r>
        <w:t>PRINCIPIILE APLI</w:t>
      </w:r>
      <w:r w:rsidR="004763A4">
        <w:t>CATE LA DETERMINAREA PRE</w:t>
      </w:r>
      <w:r w:rsidR="00972962">
        <w:t>Ț</w:t>
      </w:r>
      <w:r w:rsidR="004763A4">
        <w:t>URILOR</w:t>
      </w:r>
    </w:p>
    <w:p w:rsidR="0051256C" w:rsidRPr="002E3A0B" w:rsidRDefault="00D62838" w:rsidP="00E63401">
      <w:pPr>
        <w:pStyle w:val="NormalWeb"/>
        <w:ind w:firstLine="709"/>
      </w:pPr>
      <w:r>
        <w:rPr>
          <w:b/>
          <w:bCs/>
        </w:rPr>
        <w:t>3.</w:t>
      </w:r>
      <w:r w:rsidRPr="002E3A0B">
        <w:t>Metodologia este bazată pe următoarele principii de reglementare:</w:t>
      </w:r>
    </w:p>
    <w:p w:rsidR="0051256C" w:rsidRPr="002E3A0B" w:rsidRDefault="00D62838" w:rsidP="00E63401">
      <w:pPr>
        <w:pStyle w:val="NormalWeb"/>
        <w:ind w:firstLine="709"/>
      </w:pPr>
      <w:r w:rsidRPr="002E3A0B">
        <w:t xml:space="preserve">1) separarea contabilă </w:t>
      </w:r>
      <w:r w:rsidR="004763A4" w:rsidRPr="002E3A0B">
        <w:t>a activită</w:t>
      </w:r>
      <w:r w:rsidR="00972962" w:rsidRPr="002E3A0B">
        <w:t>ț</w:t>
      </w:r>
      <w:r w:rsidR="004763A4" w:rsidRPr="002E3A0B">
        <w:t>i</w:t>
      </w:r>
      <w:r w:rsidR="00B0319B">
        <w:t>i</w:t>
      </w:r>
      <w:r w:rsidR="004763A4" w:rsidRPr="002E3A0B">
        <w:t xml:space="preserve"> reglementate </w:t>
      </w:r>
      <w:r w:rsidR="009632D6" w:rsidRPr="002E3A0B">
        <w:t xml:space="preserve">de </w:t>
      </w:r>
      <w:r w:rsidRPr="002E3A0B">
        <w:t xml:space="preserve">alte </w:t>
      </w:r>
      <w:r w:rsidR="004763A4" w:rsidRPr="002E3A0B">
        <w:t>activită</w:t>
      </w:r>
      <w:r w:rsidR="00972962" w:rsidRPr="002E3A0B">
        <w:t>ț</w:t>
      </w:r>
      <w:r w:rsidR="004763A4" w:rsidRPr="002E3A0B">
        <w:t>i</w:t>
      </w:r>
      <w:r w:rsidRPr="002E3A0B">
        <w:t xml:space="preserve"> desfă</w:t>
      </w:r>
      <w:r w:rsidR="00972962" w:rsidRPr="002E3A0B">
        <w:t>ș</w:t>
      </w:r>
      <w:r w:rsidR="002E3A0B">
        <w:t>urate de Furnizor;</w:t>
      </w:r>
    </w:p>
    <w:p w:rsidR="0051256C" w:rsidRPr="002E3A0B" w:rsidRDefault="00D62838" w:rsidP="00E63401">
      <w:pPr>
        <w:pStyle w:val="NormalWeb"/>
        <w:ind w:firstLine="709"/>
      </w:pPr>
      <w:r w:rsidRPr="002E3A0B">
        <w:t>2) func</w:t>
      </w:r>
      <w:r w:rsidR="00972962" w:rsidRPr="002E3A0B">
        <w:t>ț</w:t>
      </w:r>
      <w:r w:rsidRPr="002E3A0B">
        <w:t xml:space="preserve">ionarea eficientă </w:t>
      </w:r>
      <w:r w:rsidR="00972962" w:rsidRPr="002E3A0B">
        <w:t>ș</w:t>
      </w:r>
      <w:r w:rsidRPr="002E3A0B">
        <w:t>i asigurarea viabilită</w:t>
      </w:r>
      <w:r w:rsidR="00972962" w:rsidRPr="002E3A0B">
        <w:t>ț</w:t>
      </w:r>
      <w:r w:rsidRPr="002E3A0B">
        <w:t>ii Furnizorului;</w:t>
      </w:r>
    </w:p>
    <w:p w:rsidR="0051256C" w:rsidRDefault="00D62838" w:rsidP="00E63401">
      <w:pPr>
        <w:pStyle w:val="NormalWeb"/>
        <w:ind w:firstLine="709"/>
      </w:pPr>
      <w:r w:rsidRPr="002E3A0B">
        <w:t xml:space="preserve">3) determinarea costurilor reale de procurare </w:t>
      </w:r>
      <w:r>
        <w:t>a energiei electrice, a cheltuielilor aferente prestării Furnizorului a</w:t>
      </w:r>
      <w:r w:rsidR="007E158B">
        <w:t>le</w:t>
      </w:r>
      <w:r>
        <w:t xml:space="preserve"> serviciilor de transport </w:t>
      </w:r>
      <w:r w:rsidR="00972962">
        <w:t>ș</w:t>
      </w:r>
      <w:r>
        <w:t>i de distribu</w:t>
      </w:r>
      <w:r w:rsidR="00972962">
        <w:t>ț</w:t>
      </w:r>
      <w:r>
        <w:t xml:space="preserve">ie a energiei electrice, a costurilor </w:t>
      </w:r>
      <w:r w:rsidR="00972962">
        <w:t>ș</w:t>
      </w:r>
      <w:r>
        <w:t>i a cheltuielilor strict necesare pentru desfă</w:t>
      </w:r>
      <w:r w:rsidR="00972962">
        <w:t>ș</w:t>
      </w:r>
      <w:r>
        <w:t>urarea activită</w:t>
      </w:r>
      <w:r w:rsidR="00972962">
        <w:t>ț</w:t>
      </w:r>
      <w:r>
        <w:t xml:space="preserve">ii reglementate de furnizare a energiei electrice, cu excluderea din calcul a tuturor costurilor </w:t>
      </w:r>
      <w:r w:rsidR="00972962">
        <w:t>ș</w:t>
      </w:r>
      <w:r>
        <w:t xml:space="preserve">i cheltuielilor economic neargumentate </w:t>
      </w:r>
      <w:r w:rsidR="00972962">
        <w:t>ș</w:t>
      </w:r>
      <w:r>
        <w:t>i/sau care nu sunt necesare pentru desfă</w:t>
      </w:r>
      <w:r w:rsidR="00972962">
        <w:t>ș</w:t>
      </w:r>
      <w:r>
        <w:t>urarea activită</w:t>
      </w:r>
      <w:r w:rsidR="00972962">
        <w:t>ț</w:t>
      </w:r>
      <w:r>
        <w:t xml:space="preserve">ii de furnizare a energiei electrice; </w:t>
      </w:r>
    </w:p>
    <w:p w:rsidR="0051256C" w:rsidRDefault="00D62838" w:rsidP="00E63401">
      <w:pPr>
        <w:pStyle w:val="NormalWeb"/>
        <w:ind w:firstLine="709"/>
      </w:pPr>
      <w:r>
        <w:t>4) desfă</w:t>
      </w:r>
      <w:r w:rsidR="00972962">
        <w:t>ș</w:t>
      </w:r>
      <w:r>
        <w:t>urarea activită</w:t>
      </w:r>
      <w:r w:rsidR="00972962">
        <w:t>ț</w:t>
      </w:r>
      <w:r>
        <w:t>ii de furnizare a energiei electrice în condi</w:t>
      </w:r>
      <w:r w:rsidR="00972962">
        <w:t>ț</w:t>
      </w:r>
      <w:r>
        <w:t>ii de eficien</w:t>
      </w:r>
      <w:r w:rsidR="00972962">
        <w:t>ț</w:t>
      </w:r>
      <w:r>
        <w:t xml:space="preserve">ă </w:t>
      </w:r>
      <w:r w:rsidR="00972962">
        <w:t>ș</w:t>
      </w:r>
      <w:r>
        <w:t>i de fiabilitate;</w:t>
      </w:r>
    </w:p>
    <w:p w:rsidR="0051256C" w:rsidRDefault="00D62838" w:rsidP="00E63401">
      <w:pPr>
        <w:pStyle w:val="NormalWeb"/>
        <w:ind w:firstLine="709"/>
      </w:pPr>
      <w:r>
        <w:lastRenderedPageBreak/>
        <w:t>5) includerea în pre</w:t>
      </w:r>
      <w:r w:rsidR="00972962">
        <w:t>ț</w:t>
      </w:r>
      <w:r>
        <w:t xml:space="preserve">urile reglementate de furnizare a energiei electrice doar a costurilor </w:t>
      </w:r>
      <w:r w:rsidR="00972962">
        <w:t>ș</w:t>
      </w:r>
      <w:r>
        <w:t>i a cheltuielilor reale, strict necesare pentru procurarea, transportul, distribu</w:t>
      </w:r>
      <w:r w:rsidR="00972962">
        <w:t>ț</w:t>
      </w:r>
      <w:r>
        <w:t xml:space="preserve">ia </w:t>
      </w:r>
      <w:r w:rsidR="00972962">
        <w:t>ș</w:t>
      </w:r>
      <w:r>
        <w:t>i furnizarea energiei electrice la pre</w:t>
      </w:r>
      <w:r w:rsidR="00972962">
        <w:t>ț</w:t>
      </w:r>
      <w:r>
        <w:t>uri reglementate prin re</w:t>
      </w:r>
      <w:r w:rsidR="00972962">
        <w:t>ț</w:t>
      </w:r>
      <w:r>
        <w:t>elele electrice până la nivelul respectiv de tensiune la care sunt racordate instala</w:t>
      </w:r>
      <w:r w:rsidR="00972962">
        <w:t>ț</w:t>
      </w:r>
      <w:r>
        <w:t>iile electrice ale consumatorilor finali;</w:t>
      </w:r>
    </w:p>
    <w:p w:rsidR="0051256C" w:rsidRDefault="00D62838" w:rsidP="00E63401">
      <w:pPr>
        <w:pStyle w:val="NormalWeb"/>
        <w:ind w:firstLine="709"/>
      </w:pPr>
      <w:r>
        <w:t>6) excluderea subven</w:t>
      </w:r>
      <w:r w:rsidR="00972962">
        <w:t>ț</w:t>
      </w:r>
      <w:r>
        <w:t>iilor încruci</w:t>
      </w:r>
      <w:r w:rsidR="00972962">
        <w:t>ș</w:t>
      </w:r>
      <w:r>
        <w:t>ate;</w:t>
      </w:r>
    </w:p>
    <w:p w:rsidR="0051256C" w:rsidRDefault="00D62838" w:rsidP="00E63401">
      <w:pPr>
        <w:pStyle w:val="NormalWeb"/>
        <w:ind w:firstLine="709"/>
      </w:pPr>
      <w:r>
        <w:t>7) transparen</w:t>
      </w:r>
      <w:r w:rsidR="00972962">
        <w:t>ț</w:t>
      </w:r>
      <w:r>
        <w:t>ă în procesul de reglementare a pre</w:t>
      </w:r>
      <w:r w:rsidR="00972962">
        <w:t>ț</w:t>
      </w:r>
      <w:r>
        <w:t>urilor.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p"/>
        <w:ind w:firstLine="709"/>
      </w:pPr>
      <w:r>
        <w:t>Sec</w:t>
      </w:r>
      <w:r w:rsidR="00972962">
        <w:t>ț</w:t>
      </w:r>
      <w:r>
        <w:t>iunea 3</w:t>
      </w:r>
    </w:p>
    <w:p w:rsidR="0051256C" w:rsidRDefault="00D62838" w:rsidP="00E63401">
      <w:pPr>
        <w:pStyle w:val="cp"/>
        <w:ind w:firstLine="709"/>
      </w:pPr>
      <w:r>
        <w:t>CALCULAREA PRE</w:t>
      </w:r>
      <w:r w:rsidR="00972962">
        <w:t>Ț</w:t>
      </w:r>
      <w:r>
        <w:t>URILOR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4.</w:t>
      </w:r>
      <w:r>
        <w:t xml:space="preserve"> Pre</w:t>
      </w:r>
      <w:r w:rsidR="00972962">
        <w:t>ț</w:t>
      </w:r>
      <w:r>
        <w:t>ul mediu de furnizare a energieielectrice (</w:t>
      </w:r>
      <w:r w:rsidR="007E158B">
        <w:t>P</w:t>
      </w:r>
      <w:r>
        <w:t>FCmn) tuturorconsumatorilordeservi</w:t>
      </w:r>
      <w:r w:rsidR="00972962">
        <w:t>ț</w:t>
      </w:r>
      <w:r>
        <w:t>i de Furnizor în anul de reglementare “n” se determină reie</w:t>
      </w:r>
      <w:r w:rsidR="00972962">
        <w:t>ș</w:t>
      </w:r>
      <w:r>
        <w:t>ind din venitul care trebuie să fie ob</w:t>
      </w:r>
      <w:r w:rsidR="00972962">
        <w:t>ț</w:t>
      </w:r>
      <w:r>
        <w:t xml:space="preserve">inut de către Furnizor în vederea acoperirii costurilor </w:t>
      </w:r>
      <w:r w:rsidR="00972962">
        <w:t>ș</w:t>
      </w:r>
      <w:r>
        <w:t xml:space="preserve">i a cheltuielilor reale necesare pentru furnizarea energiei electrice </w:t>
      </w:r>
      <w:r w:rsidR="00972962">
        <w:t>ș</w:t>
      </w:r>
      <w:r>
        <w:t>i pentru ob</w:t>
      </w:r>
      <w:r w:rsidR="00972962">
        <w:t>ț</w:t>
      </w:r>
      <w:r>
        <w:t>inerea unei marje rezonabile de profit. Astfel, pre</w:t>
      </w:r>
      <w:r w:rsidR="00972962">
        <w:t>ț</w:t>
      </w:r>
      <w:r>
        <w:t>ul în cauză va fi determinat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mn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CFT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(1)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</w:t>
      </w:r>
      <w:r>
        <w:t xml:space="preserve"> – venitulreglementat al Furnizorului necesar a fi ob</w:t>
      </w:r>
      <w:r w:rsidR="00972962">
        <w:t>ț</w:t>
      </w:r>
      <w:r>
        <w:t>inut în anul “n” în urma furnizării energiei electrice tuturor consumatorilor deservi</w:t>
      </w:r>
      <w:r w:rsidR="00972962">
        <w:t>ț</w:t>
      </w:r>
      <w:r>
        <w:t>i,</w:t>
      </w:r>
      <w:r w:rsidR="001A67DC">
        <w:t xml:space="preserve"> exprimat în </w:t>
      </w:r>
      <w:r>
        <w:t xml:space="preserve">lei. </w:t>
      </w:r>
      <w:r w:rsidR="00BC0C53">
        <w:t>F</w:t>
      </w:r>
      <w:r>
        <w:t>urnizarea energiei electrice poate fi efectuată de Furnizor la punctele de intrare în re</w:t>
      </w:r>
      <w:r w:rsidR="00972962">
        <w:t>ț</w:t>
      </w:r>
      <w:r>
        <w:t>elele electrice de transport, la punctele de ie</w:t>
      </w:r>
      <w:r w:rsidR="00972962">
        <w:t>ș</w:t>
      </w:r>
      <w:r>
        <w:t>ire din re</w:t>
      </w:r>
      <w:r w:rsidR="00972962">
        <w:t>ț</w:t>
      </w:r>
      <w:r>
        <w:t xml:space="preserve">elele electrice de transport </w:t>
      </w:r>
      <w:r w:rsidR="00972962">
        <w:t>ș</w:t>
      </w:r>
      <w:r>
        <w:t>i la punctele de ie</w:t>
      </w:r>
      <w:r w:rsidR="00972962">
        <w:t>ș</w:t>
      </w:r>
      <w:r>
        <w:t>ire din re</w:t>
      </w:r>
      <w:r w:rsidR="00972962">
        <w:t>ț</w:t>
      </w:r>
      <w:r>
        <w:t>elele electrice de distribu</w:t>
      </w:r>
      <w:r w:rsidR="00972962">
        <w:t>ț</w:t>
      </w:r>
      <w:r>
        <w:t>ie. Astfel: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VF</w:t>
      </w:r>
      <w:r>
        <w:rPr>
          <w:i/>
          <w:iCs/>
          <w:vertAlign w:val="subscript"/>
        </w:rPr>
        <w:t>not</w:t>
      </w:r>
      <w:r>
        <w:rPr>
          <w:i/>
          <w:iCs/>
        </w:rPr>
        <w:t xml:space="preserve"> + VF</w:t>
      </w:r>
      <w:r>
        <w:rPr>
          <w:i/>
          <w:iCs/>
          <w:vertAlign w:val="subscript"/>
        </w:rPr>
        <w:t>ntr</w:t>
      </w:r>
      <w:r>
        <w:rPr>
          <w:i/>
          <w:iCs/>
        </w:rPr>
        <w:t>+ VF</w:t>
      </w:r>
      <w:r>
        <w:rPr>
          <w:i/>
          <w:iCs/>
          <w:vertAlign w:val="subscript"/>
        </w:rPr>
        <w:t>nd</w:t>
      </w:r>
      <w:r>
        <w:t>(2)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not</w:t>
      </w:r>
      <w:r>
        <w:t xml:space="preserve"> – venitulFurnizorului în anul “n” de la furnizarea energiei electrice la punctele de intrare în re</w:t>
      </w:r>
      <w:r w:rsidR="00972962">
        <w:t>ț</w:t>
      </w:r>
      <w:r>
        <w:t xml:space="preserve">elele electrice de transport,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ntr</w:t>
      </w:r>
      <w:r>
        <w:t>– venitulFurnizorului de la furnizarea în anul “n”, la punctele de ie</w:t>
      </w:r>
      <w:r w:rsidR="00972962">
        <w:t>ș</w:t>
      </w:r>
      <w:r>
        <w:t>ire din re</w:t>
      </w:r>
      <w:r w:rsidR="00972962">
        <w:t>ț</w:t>
      </w:r>
      <w:r>
        <w:t>elele electrice de transport, a energiei electrice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 xml:space="preserve">elele electrice de transport,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r>
        <w:t xml:space="preserve"> – venitulFurnizorului de la furnizarea în anul “n” a energiei electrice consumatorilor la punctele de ie</w:t>
      </w:r>
      <w:r w:rsidR="00972962">
        <w:t>ș</w:t>
      </w:r>
      <w:r>
        <w:t>ire din re</w:t>
      </w:r>
      <w:r w:rsidR="00972962">
        <w:t>ț</w:t>
      </w:r>
      <w:r>
        <w:t>elele electrice de distribu</w:t>
      </w:r>
      <w:r w:rsidR="00972962">
        <w:t>ț</w:t>
      </w:r>
      <w:r>
        <w:t>ie, lei, care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r>
        <w:rPr>
          <w:i/>
          <w:iCs/>
        </w:rPr>
        <w:t>= VF</w:t>
      </w:r>
      <w:r>
        <w:rPr>
          <w:i/>
          <w:iCs/>
          <w:vertAlign w:val="subscript"/>
        </w:rPr>
        <w:t>n</w:t>
      </w:r>
      <w:r w:rsidR="005B2017">
        <w:rPr>
          <w:i/>
          <w:iCs/>
          <w:vertAlign w:val="subscript"/>
        </w:rPr>
        <w:t>î</w:t>
      </w:r>
      <w:r>
        <w:rPr>
          <w:i/>
          <w:iCs/>
          <w:vertAlign w:val="subscript"/>
        </w:rPr>
        <w:t>t</w:t>
      </w:r>
      <w:r>
        <w:rPr>
          <w:i/>
          <w:iCs/>
        </w:rPr>
        <w:t>+ VF</w:t>
      </w:r>
      <w:r>
        <w:rPr>
          <w:i/>
          <w:iCs/>
          <w:vertAlign w:val="subscript"/>
        </w:rPr>
        <w:t>nmt</w:t>
      </w:r>
      <w:r>
        <w:rPr>
          <w:i/>
          <w:iCs/>
        </w:rPr>
        <w:t>+ VF</w:t>
      </w:r>
      <w:r>
        <w:rPr>
          <w:i/>
          <w:iCs/>
          <w:vertAlign w:val="subscript"/>
        </w:rPr>
        <w:t>njt</w:t>
      </w:r>
      <w:r>
        <w:t>(3)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 w:rsidR="005B2017">
        <w:rPr>
          <w:i/>
          <w:iCs/>
          <w:vertAlign w:val="subscript"/>
        </w:rPr>
        <w:t>nî</w:t>
      </w:r>
      <w:r>
        <w:rPr>
          <w:i/>
          <w:iCs/>
          <w:vertAlign w:val="subscript"/>
        </w:rPr>
        <w:t>t</w:t>
      </w:r>
      <w:r>
        <w:t xml:space="preserve"> – venitul de la furnizarea în anul “n” a energiei electrice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 xml:space="preserve">ie de înaltă tensiune,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nmt</w:t>
      </w:r>
      <w:r>
        <w:t xml:space="preserve"> – venitul de la furnizarea în anul “n” a energiei electrice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 xml:space="preserve">ie de medie tensiune,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njt</w:t>
      </w:r>
      <w:r>
        <w:t>– venitul de la furnizarea în anul “n” a energiei electrice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>ie de joasă tensiune, lei;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CFT</w:t>
      </w:r>
      <w:r>
        <w:rPr>
          <w:vertAlign w:val="subscript"/>
        </w:rPr>
        <w:t>n</w:t>
      </w:r>
      <w:r>
        <w:t>– costurile</w:t>
      </w:r>
      <w:r w:rsidR="00972962">
        <w:t>ș</w:t>
      </w:r>
      <w:r>
        <w:t>i cheltuielile totale ale Furnizorului aferente furnizării energiei electrice, care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CFT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CEP</w:t>
      </w:r>
      <w:r>
        <w:rPr>
          <w:i/>
          <w:iCs/>
          <w:vertAlign w:val="subscript"/>
        </w:rPr>
        <w:t>n</w:t>
      </w:r>
      <w:r>
        <w:rPr>
          <w:i/>
          <w:iCs/>
        </w:rPr>
        <w:t>+ CST</w:t>
      </w:r>
      <w:r>
        <w:rPr>
          <w:i/>
          <w:iCs/>
          <w:vertAlign w:val="subscript"/>
        </w:rPr>
        <w:t>n</w:t>
      </w:r>
      <w:r>
        <w:rPr>
          <w:i/>
          <w:iCs/>
        </w:rPr>
        <w:t>+ CSD</w:t>
      </w:r>
      <w:r>
        <w:rPr>
          <w:i/>
          <w:iCs/>
          <w:vertAlign w:val="subscript"/>
        </w:rPr>
        <w:t>n</w:t>
      </w:r>
      <w:r>
        <w:rPr>
          <w:i/>
          <w:iCs/>
        </w:rPr>
        <w:t>+ CSF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– Dev</w:t>
      </w:r>
      <w:r>
        <w:rPr>
          <w:i/>
          <w:iCs/>
          <w:vertAlign w:val="subscript"/>
        </w:rPr>
        <w:t>n-1</w:t>
      </w:r>
      <w:r>
        <w:t xml:space="preserve"> (4)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lastRenderedPageBreak/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CEP</w:t>
      </w:r>
      <w:r>
        <w:rPr>
          <w:i/>
          <w:iCs/>
          <w:vertAlign w:val="subscript"/>
        </w:rPr>
        <w:t>n</w:t>
      </w:r>
      <w:r>
        <w:t xml:space="preserve"> – costulenergiei electrice procurate de Furnizor în anul “n” pentru a fi furnizată tuturor consumatorilor, lei;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CST</w:t>
      </w:r>
      <w:r>
        <w:rPr>
          <w:i/>
          <w:iCs/>
          <w:vertAlign w:val="subscript"/>
        </w:rPr>
        <w:t>n</w:t>
      </w:r>
      <w:r>
        <w:t>– cheltuielilesuportate de Furnizor în anul “n” pentru prestarea acestuia a serviciului de transport al energiei electrice prin re</w:t>
      </w:r>
      <w:r w:rsidR="00972962">
        <w:t>ț</w:t>
      </w:r>
      <w:r>
        <w:t xml:space="preserve">elele electrice de transport, de către operatorul sistemului de transport,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CSD</w:t>
      </w:r>
      <w:r>
        <w:rPr>
          <w:i/>
          <w:iCs/>
          <w:vertAlign w:val="subscript"/>
        </w:rPr>
        <w:t>n</w:t>
      </w:r>
      <w:r>
        <w:t>– cheltuielilesuportate de Furnizor în anul “n” pentru prestarea acestuia a serviciului de distribu</w:t>
      </w:r>
      <w:r w:rsidR="00972962">
        <w:t>ț</w:t>
      </w:r>
      <w:r>
        <w:t>ie a energiei electrice, de către operatorul sistemului de distribu</w:t>
      </w:r>
      <w:r w:rsidR="00972962">
        <w:t>ț</w:t>
      </w:r>
      <w:r w:rsidR="00E63401">
        <w:t>ie, lei;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CSF</w:t>
      </w:r>
      <w:r>
        <w:rPr>
          <w:i/>
          <w:iCs/>
          <w:vertAlign w:val="subscript"/>
        </w:rPr>
        <w:t>n</w:t>
      </w:r>
      <w:r>
        <w:t>– costurile</w:t>
      </w:r>
      <w:r w:rsidR="00972962">
        <w:t>ș</w:t>
      </w:r>
      <w:r>
        <w:t>i cheltuielile totale ale Furnizorului necesare pentru desfă</w:t>
      </w:r>
      <w:r w:rsidR="00972962">
        <w:t>ș</w:t>
      </w:r>
      <w:r>
        <w:t>urarea activită</w:t>
      </w:r>
      <w:r w:rsidR="00972962">
        <w:t>ț</w:t>
      </w:r>
      <w:r>
        <w:t>ii de furnizare a energiei electrice în anul “n”, lei;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Dev</w:t>
      </w:r>
      <w:r>
        <w:rPr>
          <w:i/>
          <w:iCs/>
          <w:vertAlign w:val="subscript"/>
        </w:rPr>
        <w:t>n-1</w:t>
      </w:r>
      <w:r>
        <w:t>– componenta, care va lua în considera</w:t>
      </w:r>
      <w:r w:rsidR="00972962">
        <w:t>ț</w:t>
      </w:r>
      <w:r>
        <w:t>ie devierile tarifare, pozitive (+) sau negative (-</w:t>
      </w:r>
      <w:r w:rsidR="00E63401">
        <w:t> </w:t>
      </w:r>
      <w:r>
        <w:t>), ale Furnizorului generate în anul “</w:t>
      </w:r>
      <w:r>
        <w:rPr>
          <w:i/>
          <w:iCs/>
        </w:rPr>
        <w:t>n-1</w:t>
      </w:r>
      <w:r>
        <w:t xml:space="preserve">” (perioada precedentă de reglementare), </w:t>
      </w:r>
      <w:r w:rsidR="001A67DC">
        <w:t xml:space="preserve">ce vor fi </w:t>
      </w:r>
      <w:r>
        <w:t>luate în calculul pre</w:t>
      </w:r>
      <w:r w:rsidR="00972962">
        <w:t>ț</w:t>
      </w:r>
      <w:r>
        <w:t>urilor reglementate pentru anul “n” (perioada pentru care se stabilesc pre</w:t>
      </w:r>
      <w:r w:rsidR="00972962">
        <w:t>ț</w:t>
      </w:r>
      <w:r>
        <w:t>urile reglementate). Aceste devieri pot rezulta</w:t>
      </w:r>
      <w:r w:rsidR="001A67DC">
        <w:t xml:space="preserve"> din </w:t>
      </w:r>
      <w:r>
        <w:t>diferen</w:t>
      </w:r>
      <w:r w:rsidR="00972962">
        <w:t>ț</w:t>
      </w:r>
      <w:r w:rsidR="001A67DC">
        <w:t xml:space="preserve">a </w:t>
      </w:r>
      <w:r>
        <w:t>între parametrii estima</w:t>
      </w:r>
      <w:r w:rsidR="00972962">
        <w:t>ț</w:t>
      </w:r>
      <w:r>
        <w:t xml:space="preserve">i în procesul de stabilire a tarifelor pentru anul “n-1” </w:t>
      </w:r>
      <w:r w:rsidR="00972962">
        <w:t>ș</w:t>
      </w:r>
      <w:r>
        <w:t>i cei reali ob</w:t>
      </w:r>
      <w:r w:rsidR="00972962">
        <w:t>ț</w:t>
      </w:r>
      <w:r>
        <w:t>inu</w:t>
      </w:r>
      <w:r w:rsidR="00972962">
        <w:t>ț</w:t>
      </w:r>
      <w:r>
        <w:t>i în anul “</w:t>
      </w:r>
      <w:r>
        <w:rPr>
          <w:i/>
          <w:iCs/>
        </w:rPr>
        <w:t>n-1</w:t>
      </w:r>
      <w:r>
        <w:t>”, lei.</w:t>
      </w:r>
    </w:p>
    <w:p w:rsidR="0051256C" w:rsidRPr="002E3A0B" w:rsidRDefault="00D62838" w:rsidP="00E63401">
      <w:pPr>
        <w:pStyle w:val="NormalWeb"/>
        <w:ind w:firstLine="709"/>
      </w:pPr>
      <w:r>
        <w:rPr>
          <w:i/>
          <w:iCs/>
        </w:rPr>
        <w:t>RF</w:t>
      </w:r>
      <w:r>
        <w:rPr>
          <w:i/>
          <w:iCs/>
          <w:vertAlign w:val="subscript"/>
        </w:rPr>
        <w:t>n</w:t>
      </w:r>
      <w:r>
        <w:t xml:space="preserve">– </w:t>
      </w:r>
      <w:r w:rsidRPr="002E3A0B">
        <w:t>rentabilitateareglementată necesară а fi ob</w:t>
      </w:r>
      <w:r w:rsidR="00972962" w:rsidRPr="002E3A0B">
        <w:t>ț</w:t>
      </w:r>
      <w:r w:rsidRPr="002E3A0B">
        <w:t>inută de Furnizor în anul “n” de la furnizarea energiei electrice, care se determină conform formulei:</w:t>
      </w:r>
    </w:p>
    <w:p w:rsidR="0051256C" w:rsidRPr="002E3A0B" w:rsidRDefault="00D62838" w:rsidP="00E63401">
      <w:pPr>
        <w:pStyle w:val="NormalWeb"/>
        <w:spacing w:before="120" w:after="120" w:line="300" w:lineRule="atLeast"/>
        <w:ind w:firstLine="709"/>
        <w:jc w:val="center"/>
        <w:rPr>
          <w:i/>
          <w:iCs/>
        </w:rPr>
      </w:pPr>
      <w:r w:rsidRPr="002E3A0B">
        <w:rPr>
          <w:i/>
          <w:iCs/>
        </w:rPr>
        <w:t>RF</w:t>
      </w:r>
      <w:r w:rsidRPr="002E3A0B">
        <w:rPr>
          <w:i/>
          <w:iCs/>
          <w:vertAlign w:val="subscript"/>
        </w:rPr>
        <w:t>n</w:t>
      </w:r>
      <w:r w:rsidRPr="002E3A0B">
        <w:rPr>
          <w:i/>
          <w:iCs/>
        </w:rPr>
        <w:t>=</w:t>
      </w:r>
      <w:r w:rsidR="005B798D" w:rsidRPr="002E3A0B">
        <w:rPr>
          <w:i/>
          <w:iCs/>
        </w:rPr>
        <w:t>(CEPn + CSTn + CSDn + CSFn )</w:t>
      </w:r>
      <w:r w:rsidRPr="002E3A0B">
        <w:rPr>
          <w:i/>
          <w:iCs/>
        </w:rPr>
        <w:t>×R</w:t>
      </w:r>
      <w:r w:rsidRPr="002E3A0B">
        <w:rPr>
          <w:i/>
          <w:iCs/>
          <w:vertAlign w:val="subscript"/>
        </w:rPr>
        <w:t>%</w:t>
      </w:r>
      <w:r w:rsidRPr="00E63401">
        <w:rPr>
          <w:iCs/>
        </w:rPr>
        <w:t xml:space="preserve"> (5)</w:t>
      </w:r>
    </w:p>
    <w:p w:rsidR="0051256C" w:rsidRPr="002E3A0B" w:rsidRDefault="00D62838" w:rsidP="00E63401">
      <w:pPr>
        <w:pStyle w:val="NormalWeb"/>
        <w:ind w:firstLine="709"/>
      </w:pPr>
      <w:r w:rsidRPr="002E3A0B">
        <w:t>unde:</w:t>
      </w:r>
    </w:p>
    <w:p w:rsidR="0051256C" w:rsidRPr="002E3A0B" w:rsidRDefault="00D62838" w:rsidP="00E63401">
      <w:pPr>
        <w:pStyle w:val="NormalWeb"/>
        <w:ind w:firstLine="709"/>
      </w:pPr>
      <w:r w:rsidRPr="002E3A0B">
        <w:rPr>
          <w:i/>
          <w:iCs/>
        </w:rPr>
        <w:t>R</w:t>
      </w:r>
      <w:r w:rsidRPr="002E3A0B">
        <w:rPr>
          <w:i/>
          <w:iCs/>
          <w:vertAlign w:val="subscript"/>
        </w:rPr>
        <w:t>%</w:t>
      </w:r>
      <w:r w:rsidRPr="002E3A0B">
        <w:t xml:space="preserve"> – rata de rentabilitate pentru activitatea de furnizare reglementată a energiei electrice, stabilită la nivelul de </w:t>
      </w:r>
      <w:r w:rsidR="005B798D" w:rsidRPr="002E3A0B">
        <w:t>1</w:t>
      </w:r>
      <w:r w:rsidR="00EC1340" w:rsidRPr="002E3A0B">
        <w:t>,0</w:t>
      </w:r>
      <w:r w:rsidR="00B2675D" w:rsidRPr="002E3A0B">
        <w:t> %,</w:t>
      </w:r>
      <w:r w:rsidRPr="002E3A0B">
        <w:t xml:space="preserve"> constantă pe perioada de </w:t>
      </w:r>
      <w:r w:rsidR="00BC0C53" w:rsidRPr="002E3A0B">
        <w:t xml:space="preserve">aplicare </w:t>
      </w:r>
      <w:r w:rsidR="00181C10">
        <w:t>a metodologiei</w:t>
      </w:r>
      <w:r w:rsidRPr="002E3A0B">
        <w:t>.</w:t>
      </w:r>
    </w:p>
    <w:p w:rsidR="0051256C" w:rsidRPr="002E3A0B" w:rsidRDefault="00D62838" w:rsidP="00E63401">
      <w:pPr>
        <w:pStyle w:val="NormalWeb"/>
        <w:spacing w:before="120" w:line="240" w:lineRule="atLeast"/>
        <w:ind w:firstLine="709"/>
      </w:pPr>
      <w:r w:rsidRPr="002E3A0B">
        <w:rPr>
          <w:i/>
          <w:iCs/>
        </w:rPr>
        <w:t>EFC</w:t>
      </w:r>
      <w:r w:rsidRPr="002E3A0B">
        <w:rPr>
          <w:i/>
          <w:iCs/>
          <w:vertAlign w:val="subscript"/>
        </w:rPr>
        <w:t>n</w:t>
      </w:r>
      <w:r w:rsidRPr="002E3A0B">
        <w:t xml:space="preserve"> – cantitatea de energie electrică furnizată în anul “n” tuturor consumatorilor deservi</w:t>
      </w:r>
      <w:r w:rsidR="00972962" w:rsidRPr="002E3A0B">
        <w:t>ț</w:t>
      </w:r>
      <w:r w:rsidRPr="002E3A0B">
        <w:t>i de Furnizor, determinată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EFC</w:t>
      </w:r>
      <w:r>
        <w:rPr>
          <w:i/>
          <w:iCs/>
          <w:vertAlign w:val="subscript"/>
        </w:rPr>
        <w:t>not</w:t>
      </w:r>
      <w:r>
        <w:rPr>
          <w:i/>
          <w:iCs/>
        </w:rPr>
        <w:t xml:space="preserve"> + EFC</w:t>
      </w:r>
      <w:r>
        <w:rPr>
          <w:i/>
          <w:iCs/>
          <w:vertAlign w:val="subscript"/>
        </w:rPr>
        <w:t>ntr</w:t>
      </w:r>
      <w:r>
        <w:rPr>
          <w:i/>
          <w:iCs/>
        </w:rPr>
        <w:t xml:space="preserve"> + EFC</w:t>
      </w:r>
      <w:r>
        <w:rPr>
          <w:i/>
          <w:iCs/>
          <w:vertAlign w:val="subscript"/>
        </w:rPr>
        <w:t>ndr</w:t>
      </w:r>
      <w:r>
        <w:t>(</w:t>
      </w:r>
      <w:r w:rsidR="00E63401">
        <w:t>6</w:t>
      </w:r>
      <w:r>
        <w:t>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în care: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not</w:t>
      </w:r>
      <w:r>
        <w:t xml:space="preserve"> – cantitatea de energie electrică furnizată de Furnizor în anul “n” la punctele de intrare în re</w:t>
      </w:r>
      <w:r w:rsidR="00972962">
        <w:t>ț</w:t>
      </w:r>
      <w:r>
        <w:t xml:space="preserve">elele electrice de transport ale operatorului </w:t>
      </w:r>
      <w:r w:rsidR="002B07DD">
        <w:t>sistemului</w:t>
      </w:r>
      <w:r>
        <w:t xml:space="preserve"> de transport, 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ntr</w:t>
      </w:r>
      <w:r>
        <w:t>– cantitatea de energie electrică furnizată în anul “n” la punctele de ie</w:t>
      </w:r>
      <w:r w:rsidR="00972962">
        <w:t>ș</w:t>
      </w:r>
      <w:r>
        <w:t>ire din re</w:t>
      </w:r>
      <w:r w:rsidR="00972962">
        <w:t>ț</w:t>
      </w:r>
      <w:r>
        <w:t xml:space="preserve">elele electrice de transport ale operatorului </w:t>
      </w:r>
      <w:r w:rsidR="007A55C3">
        <w:t>sistemului</w:t>
      </w:r>
      <w:r>
        <w:t xml:space="preserve"> de transport, 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ndr</w:t>
      </w:r>
      <w:r>
        <w:t xml:space="preserve"> – cantitatea de energie electrică furnizată la punctele de ie</w:t>
      </w:r>
      <w:r w:rsidR="00972962">
        <w:t>ș</w:t>
      </w:r>
      <w:r>
        <w:t>ire din re</w:t>
      </w:r>
      <w:r w:rsidR="00972962">
        <w:t>ț</w:t>
      </w:r>
      <w:r>
        <w:t>elele electrice de distribu</w:t>
      </w:r>
      <w:r w:rsidR="00972962">
        <w:t>ț</w:t>
      </w:r>
      <w:r>
        <w:t>ie, kWh, care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ndr</w:t>
      </w:r>
      <w:r>
        <w:rPr>
          <w:i/>
          <w:iCs/>
        </w:rPr>
        <w:t xml:space="preserve"> = EFC</w:t>
      </w:r>
      <w:r>
        <w:rPr>
          <w:i/>
          <w:iCs/>
          <w:vertAlign w:val="subscript"/>
        </w:rPr>
        <w:t>n</w:t>
      </w:r>
      <w:r w:rsidR="005B2017">
        <w:rPr>
          <w:i/>
          <w:iCs/>
          <w:vertAlign w:val="subscript"/>
        </w:rPr>
        <w:t>î</w:t>
      </w:r>
      <w:r>
        <w:rPr>
          <w:i/>
          <w:iCs/>
          <w:vertAlign w:val="subscript"/>
        </w:rPr>
        <w:t>t</w:t>
      </w:r>
      <w:r>
        <w:rPr>
          <w:i/>
          <w:iCs/>
        </w:rPr>
        <w:t>+ EFC</w:t>
      </w:r>
      <w:r>
        <w:rPr>
          <w:i/>
          <w:iCs/>
          <w:vertAlign w:val="subscript"/>
        </w:rPr>
        <w:t>nmt</w:t>
      </w:r>
      <w:r>
        <w:rPr>
          <w:i/>
          <w:iCs/>
        </w:rPr>
        <w:t>+ EFC</w:t>
      </w:r>
      <w:r>
        <w:rPr>
          <w:i/>
          <w:iCs/>
          <w:vertAlign w:val="subscript"/>
        </w:rPr>
        <w:t>njt</w:t>
      </w:r>
      <w:r>
        <w:t xml:space="preserve"> (</w:t>
      </w:r>
      <w:r w:rsidR="00E63401">
        <w:t>7</w:t>
      </w:r>
      <w:r>
        <w:t xml:space="preserve">)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</w:t>
      </w:r>
      <w:r w:rsidR="005B2017">
        <w:rPr>
          <w:i/>
          <w:iCs/>
          <w:vertAlign w:val="subscript"/>
        </w:rPr>
        <w:t>î</w:t>
      </w:r>
      <w:r>
        <w:rPr>
          <w:i/>
          <w:iCs/>
          <w:vertAlign w:val="subscript"/>
        </w:rPr>
        <w:t>t</w:t>
      </w:r>
      <w:r>
        <w:t>– cantitatea de energie electrică furnizată în anul “n”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>ie de tensiune înaltă (TÎ), care cuprind re</w:t>
      </w:r>
      <w:r w:rsidR="00972962">
        <w:t>ț</w:t>
      </w:r>
      <w:r>
        <w:t xml:space="preserve">elele electrice de </w:t>
      </w:r>
      <w:r w:rsidR="00972962">
        <w:t>distribuție</w:t>
      </w:r>
      <w:r>
        <w:t xml:space="preserve"> de tensiunea 35-110 kV, 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nmt</w:t>
      </w:r>
      <w:r>
        <w:t>– cantitatea de energie electrică furnizată în anul “n” consumatorilor finali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>ie de medie tensiune (TM), care cuprind re</w:t>
      </w:r>
      <w:r w:rsidR="00972962">
        <w:t>ț</w:t>
      </w:r>
      <w:r>
        <w:t xml:space="preserve">elele electrice de </w:t>
      </w:r>
      <w:r w:rsidR="00972962">
        <w:t>distribuție</w:t>
      </w:r>
      <w:r>
        <w:t xml:space="preserve"> de tensiunea 6-10 kV, kWh;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njt</w:t>
      </w:r>
      <w:r>
        <w:t>– cantitatea de energie electrică furnizată în anul “n” consumatorilor finali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>ie de joasă tensiune (TJ), care cuprind re</w:t>
      </w:r>
      <w:r w:rsidR="00972962">
        <w:t>ț</w:t>
      </w:r>
      <w:r>
        <w:t>elele electrice de distribu</w:t>
      </w:r>
      <w:r w:rsidR="00972962">
        <w:t>ț</w:t>
      </w:r>
      <w:r>
        <w:t xml:space="preserve">ie de tensiunea 0,4 kV </w:t>
      </w:r>
      <w:r w:rsidR="00972962">
        <w:t>ș</w:t>
      </w:r>
      <w:r>
        <w:t>i mai joasă, kWh.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5.</w:t>
      </w:r>
      <w:r>
        <w:t xml:space="preserve"> Pre</w:t>
      </w:r>
      <w:r w:rsidR="00972962">
        <w:t>ț</w:t>
      </w:r>
      <w:r>
        <w:t xml:space="preserve">urile reglementate de furnizare a energiei electrice se determină </w:t>
      </w:r>
      <w:r w:rsidR="00972962">
        <w:t>ș</w:t>
      </w:r>
      <w:r>
        <w:t>i se aprobă în a</w:t>
      </w:r>
      <w:r w:rsidR="00972962">
        <w:t>ș</w:t>
      </w:r>
      <w:r>
        <w:t>a mod ca fiecare categorie de consumatori finali, în parte, să achite doar costul real necesar pentru procurarea energiei electrice, pentru transportul, pentru distribu</w:t>
      </w:r>
      <w:r w:rsidR="00972962">
        <w:t>ț</w:t>
      </w:r>
      <w:r>
        <w:t xml:space="preserve">ia </w:t>
      </w:r>
      <w:r w:rsidR="00972962">
        <w:t>ș</w:t>
      </w:r>
      <w:r>
        <w:t>i pentru furnizarea acesteia la punctele de delimitare sau la locurile de consum ale consumatorilor finali în func</w:t>
      </w:r>
      <w:r w:rsidR="00972962">
        <w:t>ț</w:t>
      </w:r>
      <w:r>
        <w:t xml:space="preserve">ie de nivelul </w:t>
      </w:r>
      <w:r>
        <w:lastRenderedPageBreak/>
        <w:t>tensiunii re</w:t>
      </w:r>
      <w:r w:rsidR="00972962">
        <w:t>ț</w:t>
      </w:r>
      <w:r>
        <w:t>elelor electrice la care sunt racordate instala</w:t>
      </w:r>
      <w:r w:rsidR="00972962">
        <w:t>ț</w:t>
      </w:r>
      <w:r>
        <w:t>iile electrice ale acestora. Aceste pre</w:t>
      </w:r>
      <w:r w:rsidR="00972962">
        <w:t>ț</w:t>
      </w:r>
      <w:r>
        <w:t xml:space="preserve">uri pot fi atât de tip monom, precum </w:t>
      </w:r>
      <w:r w:rsidR="00972962">
        <w:t>ș</w:t>
      </w:r>
      <w:r>
        <w:t>i de tip binom.</w:t>
      </w:r>
    </w:p>
    <w:p w:rsidR="0051256C" w:rsidRPr="002E3A0B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 w:rsidRPr="002E3A0B">
        <w:rPr>
          <w:b/>
          <w:bCs/>
        </w:rPr>
        <w:t>6.</w:t>
      </w:r>
      <w:r w:rsidRPr="002E3A0B">
        <w:t xml:space="preserve"> Pre</w:t>
      </w:r>
      <w:r w:rsidR="00972962" w:rsidRPr="002E3A0B">
        <w:t>ț</w:t>
      </w:r>
      <w:r w:rsidRPr="002E3A0B">
        <w:t xml:space="preserve">ul reglementat de furnizare a energie electrice de tip monom reflectă costurile Furnizorului </w:t>
      </w:r>
      <w:r w:rsidR="00B32511">
        <w:t xml:space="preserve">raportate la </w:t>
      </w:r>
      <w:r w:rsidR="00972962" w:rsidRPr="002E3A0B">
        <w:t>un</w:t>
      </w:r>
      <w:r w:rsidRPr="002E3A0B">
        <w:t xml:space="preserve"> kWh (lei/kWh). În acest caz, veniturile Furnizorului în anul de reglementare “n” de la furnizarea energiei </w:t>
      </w:r>
      <w:r>
        <w:t xml:space="preserve">electrice consumatorilor finali de energie electrică </w:t>
      </w:r>
      <w:r w:rsidR="00972962">
        <w:t>ș</w:t>
      </w:r>
      <w:r>
        <w:t>i, respectiv, plata necesară de a fi achitată de către to</w:t>
      </w:r>
      <w:r w:rsidR="00972962">
        <w:t>ț</w:t>
      </w:r>
      <w:r>
        <w:t>i consumatorii finali pentru energia electrică consumată se va determina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PAC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nk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PFC</m:t>
                  </m:r>
                </m:e>
                <m:sub>
                  <m:r>
                    <w:rPr>
                      <w:rFonts w:ascii="Cambria Math" w:hAnsi="Cambria Math"/>
                    </w:rPr>
                    <m:t>nk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bSup>
              <m:r>
                <w:rPr>
                  <w:rFonts w:ascii="Cambria Math" w:hAnsi="Cambria Math"/>
                </w:rPr>
                <m:t xml:space="preserve">        (8)</m:t>
              </m:r>
            </m:e>
          </m:nary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PAC</w:t>
      </w:r>
      <w:r>
        <w:rPr>
          <w:i/>
          <w:iCs/>
          <w:vertAlign w:val="subscript"/>
        </w:rPr>
        <w:t>n</w:t>
      </w:r>
      <w:r>
        <w:t>– platanecesară a fi achitată de către to</w:t>
      </w:r>
      <w:r w:rsidR="00972962">
        <w:t>ț</w:t>
      </w:r>
      <w:r>
        <w:t xml:space="preserve">i consumatorii finali ai Furnizorului pentru energia electrică furnizată (consumată) în anul “n”, lei;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nk</w:t>
      </w:r>
      <w:r>
        <w:t xml:space="preserve"> – cantitatea</w:t>
      </w:r>
      <w:r w:rsidR="00B0319B">
        <w:t>totală</w:t>
      </w:r>
      <w:r>
        <w:t>de energie electrică, furnizată în anul “n” consumatorilor finali de categoria “k”, kWh;</w:t>
      </w:r>
    </w:p>
    <w:p w:rsidR="0051256C" w:rsidRDefault="00935F7F" w:rsidP="00E63401">
      <w:pPr>
        <w:pStyle w:val="NormalWeb"/>
        <w:ind w:firstLine="709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PFC</m:t>
            </m:r>
          </m:e>
          <m:sub>
            <m:r>
              <w:rPr>
                <w:rFonts w:ascii="Cambria Math" w:hAnsi="Cambria Math"/>
              </w:rPr>
              <m:t>nk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D62838">
        <w:t>– pre</w:t>
      </w:r>
      <w:r w:rsidR="00972962">
        <w:t>ț</w:t>
      </w:r>
      <w:r w:rsidR="00D62838">
        <w:t>ul reglementat de tip monom de furnizare a energiei electrice în anul “n” consumatorilor finali de categoria “k”, lei/kWh. Acest pre</w:t>
      </w:r>
      <w:r w:rsidR="00972962">
        <w:t>ț</w:t>
      </w:r>
      <w:r w:rsidR="00D62838">
        <w:t xml:space="preserve"> se determină:</w:t>
      </w:r>
    </w:p>
    <w:p w:rsidR="0051256C" w:rsidRDefault="00D62838" w:rsidP="00E63401">
      <w:pPr>
        <w:pStyle w:val="NormalWeb"/>
        <w:ind w:firstLine="709"/>
      </w:pPr>
      <w:r>
        <w:t>1) Pentru energia electrică furnizată la punctele de intrare în re</w:t>
      </w:r>
      <w:r w:rsidR="00972962">
        <w:t>ț</w:t>
      </w:r>
      <w:r>
        <w:t xml:space="preserve">elele electrice de transport (operatorului </w:t>
      </w:r>
      <w:r w:rsidR="00FE25CC">
        <w:t>sistemului</w:t>
      </w:r>
      <w:r>
        <w:t xml:space="preserve"> de transport pentru acoperirea consumului tehnologic </w:t>
      </w:r>
      <w:r w:rsidR="00972962">
        <w:t>ș</w:t>
      </w:r>
      <w:r>
        <w:t>i a pierderilor de energie electrică în re</w:t>
      </w:r>
      <w:r w:rsidR="00972962">
        <w:t>ț</w:t>
      </w:r>
      <w:r>
        <w:t>elele electrice de transport):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not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not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not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 (9)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F04B7C" w:rsidP="00E63401">
      <w:pPr>
        <w:pStyle w:val="NormalWeb"/>
        <w:ind w:firstLine="709"/>
      </w:pPr>
      <w:r>
        <w:rPr>
          <w:i/>
          <w:iCs/>
        </w:rPr>
        <w:t>P</w:t>
      </w:r>
      <w:r w:rsidR="00D62838">
        <w:rPr>
          <w:i/>
          <w:iCs/>
        </w:rPr>
        <w:t>F</w:t>
      </w:r>
      <w:r w:rsidR="00D62838">
        <w:rPr>
          <w:i/>
          <w:iCs/>
          <w:vertAlign w:val="subscript"/>
        </w:rPr>
        <w:t>n</w:t>
      </w:r>
      <w:r w:rsidR="00D62838">
        <w:t>– pre</w:t>
      </w:r>
      <w:r w:rsidR="00972962">
        <w:t>ț</w:t>
      </w:r>
      <w:r w:rsidR="00D62838">
        <w:t>ulreglementat pentru desfă</w:t>
      </w:r>
      <w:r w:rsidR="00972962">
        <w:t>ș</w:t>
      </w:r>
      <w:r w:rsidR="00D62838">
        <w:t>urarea de către Furnizor a activită</w:t>
      </w:r>
      <w:r w:rsidR="00972962">
        <w:t>ț</w:t>
      </w:r>
      <w:r w:rsidR="00D62838">
        <w:t xml:space="preserve">ii de furnizare a energiei electrice, lei/kWh, care se determină conform formulei: </w:t>
      </w:r>
    </w:p>
    <w:p w:rsidR="0051256C" w:rsidRDefault="00D62838" w:rsidP="006842C5">
      <w:pPr>
        <w:pStyle w:val="NormalWeb"/>
        <w:ind w:firstLine="709"/>
      </w:pPr>
      <w:r>
        <w:t> </w:t>
      </w:r>
    </w:p>
    <w:p w:rsidR="0051256C" w:rsidRPr="006842C5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(10)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2) Pentru energia electrică furnizată la punctele de ie</w:t>
      </w:r>
      <w:r w:rsidR="00972962">
        <w:t>ș</w:t>
      </w:r>
      <w:r>
        <w:t>ire din re</w:t>
      </w:r>
      <w:r w:rsidR="00972962">
        <w:t>ț</w:t>
      </w:r>
      <w:r>
        <w:t>elele electrice de transport (consumatorilor finali instala</w:t>
      </w:r>
      <w:r w:rsidR="00972962">
        <w:t>ț</w:t>
      </w:r>
      <w:r>
        <w:t>iile electrice ale cărora sunt racordate la re</w:t>
      </w:r>
      <w:r w:rsidR="00972962">
        <w:t>ț</w:t>
      </w:r>
      <w:r>
        <w:t xml:space="preserve">elele electrice de transport, operatorilor </w:t>
      </w:r>
      <w:r w:rsidR="00FE25CC">
        <w:t>sistemelor</w:t>
      </w:r>
      <w:r>
        <w:t xml:space="preserve"> de distribu</w:t>
      </w:r>
      <w:r w:rsidR="00972962">
        <w:t>ț</w:t>
      </w:r>
      <w:r>
        <w:t xml:space="preserve">ie pentru acoperirea consumului tehnologic </w:t>
      </w:r>
      <w:r w:rsidR="00972962">
        <w:t>ș</w:t>
      </w:r>
      <w:r>
        <w:t>i a pierderilor de energie electrică în re</w:t>
      </w:r>
      <w:r w:rsidR="00972962">
        <w:t>ț</w:t>
      </w:r>
      <w:r>
        <w:t>elele electrice de distribu</w:t>
      </w:r>
      <w:r w:rsidR="00972962">
        <w:t>ț</w:t>
      </w:r>
      <w:r>
        <w:t xml:space="preserve">ie):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ntr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ntr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ntr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not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 (11)</m:t>
          </m:r>
        </m:oMath>
      </m:oMathPara>
    </w:p>
    <w:p w:rsidR="0051256C" w:rsidRDefault="00D62838" w:rsidP="00E63401">
      <w:pPr>
        <w:pStyle w:val="NormalWeb"/>
        <w:ind w:firstLine="709"/>
      </w:pPr>
      <w:r>
        <w:t>unde:</w:t>
      </w:r>
    </w:p>
    <w:p w:rsidR="00D030BE" w:rsidRDefault="00D62838" w:rsidP="00E63401">
      <w:pPr>
        <w:pStyle w:val="NormalWeb"/>
        <w:ind w:firstLine="709"/>
      </w:pPr>
      <w:r>
        <w:rPr>
          <w:i/>
          <w:iCs/>
        </w:rPr>
        <w:t>TT</w:t>
      </w:r>
      <w:r>
        <w:rPr>
          <w:i/>
          <w:iCs/>
          <w:vertAlign w:val="subscript"/>
        </w:rPr>
        <w:t>n</w:t>
      </w:r>
      <w:r>
        <w:t xml:space="preserve"> – </w:t>
      </w:r>
      <w:r w:rsidR="003F1E03">
        <w:t>tariful</w:t>
      </w:r>
      <w:r>
        <w:t xml:space="preserve">reglementat pentru </w:t>
      </w:r>
      <w:r w:rsidR="00E97F28">
        <w:t xml:space="preserve">serviciul de transport al energiei electrice, </w:t>
      </w:r>
      <w:r>
        <w:t>presta</w:t>
      </w:r>
      <w:r w:rsidR="00E97F28">
        <w:t>t</w:t>
      </w:r>
      <w:r>
        <w:t xml:space="preserve"> Furnizorului de către operatorul sistemului de transport а în anul “n”, lei/kWh, aprobat de </w:t>
      </w:r>
      <w:r w:rsidR="00603FC3">
        <w:t xml:space="preserve">Agenție </w:t>
      </w:r>
      <w:r>
        <w:t xml:space="preserve">în conformitate cu legea. </w:t>
      </w:r>
    </w:p>
    <w:p w:rsidR="0051256C" w:rsidRDefault="00D62838" w:rsidP="00E63401">
      <w:pPr>
        <w:pStyle w:val="NormalWeb"/>
        <w:ind w:firstLine="709"/>
      </w:pPr>
      <w:r>
        <w:t>3) Pentru energia electrică furnizată în anul “n” consumatorilor finali, ale căror instala</w:t>
      </w:r>
      <w:r w:rsidR="00972962">
        <w:t>ț</w:t>
      </w:r>
      <w:r>
        <w:t>ii electrice sunt racordate la re</w:t>
      </w:r>
      <w:r w:rsidR="00972962">
        <w:t>ț</w:t>
      </w:r>
      <w:r>
        <w:t>elele electrice de distribu</w:t>
      </w:r>
      <w:r w:rsidR="00972962">
        <w:t>ț</w:t>
      </w:r>
      <w:r>
        <w:t xml:space="preserve">ie de </w:t>
      </w:r>
      <w:r w:rsidR="00024EF6">
        <w:t xml:space="preserve">tensiune </w:t>
      </w:r>
      <w:r>
        <w:t>înaltă (T</w:t>
      </w:r>
      <w:r w:rsidR="00024EF6">
        <w:t>I</w:t>
      </w:r>
      <w:r>
        <w:t>):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nit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nit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nit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TD</m:t>
              </m:r>
            </m:e>
            <m:sub>
              <m:r>
                <w:rPr>
                  <w:rFonts w:ascii="Cambria Math" w:hAnsi="Cambria Math"/>
                </w:rPr>
                <m:t>nit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 xml:space="preserve">   (12)</m:t>
          </m:r>
        </m:oMath>
      </m:oMathPara>
    </w:p>
    <w:p w:rsidR="0051256C" w:rsidRDefault="00D62838" w:rsidP="00E63401">
      <w:pPr>
        <w:pStyle w:val="NormalWeb"/>
        <w:ind w:firstLine="709"/>
      </w:pPr>
      <w:r>
        <w:lastRenderedPageBreak/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935F7F" w:rsidP="00E63401">
      <w:pPr>
        <w:pStyle w:val="NormalWeb"/>
        <w:ind w:firstLine="709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TD</m:t>
            </m:r>
          </m:e>
          <m:sub>
            <m:r>
              <w:rPr>
                <w:rFonts w:ascii="Cambria Math" w:hAnsi="Cambria Math"/>
              </w:rPr>
              <m:t>nit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D62838">
        <w:t>–</w:t>
      </w:r>
      <w:r w:rsidR="003F1E03">
        <w:t xml:space="preserve"> tariful</w:t>
      </w:r>
      <w:r w:rsidR="00D62838">
        <w:t xml:space="preserve"> reglementat pentru serviciul de distribu</w:t>
      </w:r>
      <w:r w:rsidR="00972962">
        <w:t>ț</w:t>
      </w:r>
      <w:r w:rsidR="00D62838">
        <w:t xml:space="preserve">ie a energiei electrice calculat la 1 kWh </w:t>
      </w:r>
      <w:r w:rsidR="00972962">
        <w:t>ș</w:t>
      </w:r>
      <w:r w:rsidR="00D62838">
        <w:t>i prestat Furnizorului în anul “n” de operatorul sistemului de distribu</w:t>
      </w:r>
      <w:r w:rsidR="00972962">
        <w:t>ț</w:t>
      </w:r>
      <w:r w:rsidR="00D62838">
        <w:t>ie prin re</w:t>
      </w:r>
      <w:r w:rsidR="00972962">
        <w:t>ț</w:t>
      </w:r>
      <w:r w:rsidR="00D62838">
        <w:t>elele electrice de distribu</w:t>
      </w:r>
      <w:r w:rsidR="00972962">
        <w:t>ț</w:t>
      </w:r>
      <w:r w:rsidR="00D62838">
        <w:t xml:space="preserve">ie de înaltă tensiune, lei/kWh, aprobat de </w:t>
      </w:r>
      <w:r w:rsidR="00603FC3">
        <w:t>Agenție</w:t>
      </w:r>
      <w:r w:rsidR="00D62838">
        <w:t xml:space="preserve"> în conformitate cu legea.</w:t>
      </w:r>
    </w:p>
    <w:p w:rsidR="0051256C" w:rsidRDefault="00D62838" w:rsidP="00E63401">
      <w:pPr>
        <w:pStyle w:val="NormalWeb"/>
        <w:ind w:firstLine="709"/>
      </w:pPr>
      <w:r>
        <w:t>4) Pentru energia electrică furnizată în anul “n”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 xml:space="preserve">ie de </w:t>
      </w:r>
      <w:r w:rsidR="00DB21B1">
        <w:t xml:space="preserve">tensiune </w:t>
      </w:r>
      <w:r>
        <w:t>medie (</w:t>
      </w:r>
      <w:r w:rsidR="00DB21B1">
        <w:t>T</w:t>
      </w:r>
      <w:r>
        <w:t>M):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nmt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nmt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TD</m:t>
              </m:r>
            </m:e>
            <m:sub>
              <m:r>
                <w:rPr>
                  <w:rFonts w:ascii="Cambria Math" w:hAnsi="Cambria Math"/>
                </w:rPr>
                <m:t>nmt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 xml:space="preserve">   (13)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935F7F" w:rsidP="00E63401">
      <w:pPr>
        <w:pStyle w:val="NormalWeb"/>
        <w:ind w:firstLine="709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TD</m:t>
            </m:r>
          </m:e>
          <m:sub>
            <m:r>
              <w:rPr>
                <w:rFonts w:ascii="Cambria Math" w:hAnsi="Cambria Math"/>
              </w:rPr>
              <m:t>nmt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D62838">
        <w:t>–</w:t>
      </w:r>
      <w:r w:rsidR="00CA478A">
        <w:t>tariful</w:t>
      </w:r>
      <w:r w:rsidR="00D62838">
        <w:t xml:space="preserve"> reglementat pentru serviciul de distribu</w:t>
      </w:r>
      <w:r w:rsidR="00972962">
        <w:t>ț</w:t>
      </w:r>
      <w:r w:rsidR="00D62838">
        <w:t xml:space="preserve">ie a energiei electrice, calculat </w:t>
      </w:r>
      <w:r w:rsidR="00B32511">
        <w:t xml:space="preserve">per </w:t>
      </w:r>
      <w:r w:rsidR="00D62838">
        <w:t xml:space="preserve">1 kWh </w:t>
      </w:r>
      <w:r w:rsidR="00972962">
        <w:t>ș</w:t>
      </w:r>
      <w:r w:rsidR="00D62838">
        <w:t>i prestat Furnizorului în anul “n” de operatorul sistemului de distribu</w:t>
      </w:r>
      <w:r w:rsidR="00972962">
        <w:t>ț</w:t>
      </w:r>
      <w:r w:rsidR="00D62838">
        <w:t>ie prin re</w:t>
      </w:r>
      <w:r w:rsidR="00972962">
        <w:t>ț</w:t>
      </w:r>
      <w:r w:rsidR="00D62838">
        <w:t>elele electrice de distribu</w:t>
      </w:r>
      <w:r w:rsidR="00972962">
        <w:t>ț</w:t>
      </w:r>
      <w:r w:rsidR="00D62838">
        <w:t xml:space="preserve">ie de medie tensiune, lei/kWh, aprobat de </w:t>
      </w:r>
      <w:r w:rsidR="00603FC3">
        <w:t>Agenție</w:t>
      </w:r>
      <w:r w:rsidR="00D62838">
        <w:t xml:space="preserve"> în modul stabilit de lege.</w:t>
      </w:r>
    </w:p>
    <w:p w:rsidR="0051256C" w:rsidRDefault="00D62838" w:rsidP="00E63401">
      <w:pPr>
        <w:pStyle w:val="NormalWeb"/>
        <w:ind w:firstLine="709"/>
      </w:pPr>
      <w:r>
        <w:t>5) Pentru energia electrică furnizată în anul “n” consumatorilor finali, instala</w:t>
      </w:r>
      <w:r w:rsidR="00972962">
        <w:t>ț</w:t>
      </w:r>
      <w:r>
        <w:t>iile electrice ale cărora sunt racordate la re</w:t>
      </w:r>
      <w:r w:rsidR="00972962">
        <w:t>ț</w:t>
      </w:r>
      <w:r>
        <w:t>elele electrice de distribu</w:t>
      </w:r>
      <w:r w:rsidR="00972962">
        <w:t>ț</w:t>
      </w:r>
      <w:r>
        <w:t xml:space="preserve">ie de </w:t>
      </w:r>
      <w:r w:rsidR="00DB21B1">
        <w:t xml:space="preserve">tensiune </w:t>
      </w:r>
      <w:r>
        <w:t>joasă (</w:t>
      </w:r>
      <w:r w:rsidR="00DB21B1">
        <w:t>T</w:t>
      </w:r>
      <w:r>
        <w:t>J):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PFC</m:t>
              </m:r>
            </m:e>
            <m:sub>
              <m:r>
                <w:rPr>
                  <w:rFonts w:ascii="Cambria Math" w:hAnsi="Cambria Math"/>
                </w:rPr>
                <m:t>njt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TD</m:t>
              </m:r>
            </m:e>
            <m:sub>
              <m:r>
                <w:rPr>
                  <w:rFonts w:ascii="Cambria Math" w:hAnsi="Cambria Math"/>
                </w:rPr>
                <m:t>njt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 xml:space="preserve">   (14)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935F7F" w:rsidP="00E63401">
      <w:pPr>
        <w:pStyle w:val="NormalWeb"/>
        <w:ind w:firstLine="709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TD</m:t>
            </m:r>
          </m:e>
          <m:sub>
            <m:r>
              <w:rPr>
                <w:rFonts w:ascii="Cambria Math" w:hAnsi="Cambria Math"/>
              </w:rPr>
              <m:t>njt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D62838">
        <w:t xml:space="preserve">– </w:t>
      </w:r>
      <w:r w:rsidR="00CA478A">
        <w:t>tariful</w:t>
      </w:r>
      <w:r w:rsidR="00D62838">
        <w:t xml:space="preserve"> reglementat pentru serviciul de distribu</w:t>
      </w:r>
      <w:r w:rsidR="00972962">
        <w:t>ț</w:t>
      </w:r>
      <w:r w:rsidR="00D62838">
        <w:t xml:space="preserve">ie a energiei electrice, calculat la 1 kWh </w:t>
      </w:r>
      <w:r w:rsidR="00972962">
        <w:t>ș</w:t>
      </w:r>
      <w:r w:rsidR="00D62838">
        <w:t>i prestat Furnizorului în anul “n” de operatorul sistemului de distribu</w:t>
      </w:r>
      <w:r w:rsidR="00972962">
        <w:t>ț</w:t>
      </w:r>
      <w:r w:rsidR="00D62838">
        <w:t>ie prin re</w:t>
      </w:r>
      <w:r w:rsidR="00972962">
        <w:t>ț</w:t>
      </w:r>
      <w:r w:rsidR="00D62838">
        <w:t>elele electrice de distribu</w:t>
      </w:r>
      <w:r w:rsidR="00972962">
        <w:t>ț</w:t>
      </w:r>
      <w:r w:rsidR="00D62838">
        <w:t xml:space="preserve">ie de joasă tensiune, lei/kWh, aprobat de </w:t>
      </w:r>
      <w:r w:rsidR="00603FC3">
        <w:t>Agenție</w:t>
      </w:r>
      <w:r w:rsidR="00D62838">
        <w:t xml:space="preserve"> în modul stabilit de lege.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7.</w:t>
      </w:r>
      <w:r>
        <w:t xml:space="preserve"> În cazul pre</w:t>
      </w:r>
      <w:r w:rsidR="00972962">
        <w:t>ț</w:t>
      </w:r>
      <w:r>
        <w:t>urilor reglementate de tip binom costurile Furnizorului se divizează între două componente tarifare:</w:t>
      </w:r>
    </w:p>
    <w:p w:rsidR="0051256C" w:rsidRDefault="00D62838" w:rsidP="00E63401">
      <w:pPr>
        <w:pStyle w:val="NormalWeb"/>
        <w:ind w:firstLine="709"/>
      </w:pPr>
      <w:r>
        <w:t>1) pre</w:t>
      </w:r>
      <w:r w:rsidR="00972962">
        <w:t>ț</w:t>
      </w:r>
      <w:r>
        <w:t xml:space="preserve"> reglementat pentru </w:t>
      </w:r>
      <w:r w:rsidR="00B32511">
        <w:t xml:space="preserve">cantitatea de </w:t>
      </w:r>
      <w:r w:rsidRPr="00C6690B">
        <w:rPr>
          <w:color w:val="002060"/>
        </w:rPr>
        <w:t>energi</w:t>
      </w:r>
      <w:r w:rsidR="00C6690B" w:rsidRPr="00C6690B">
        <w:rPr>
          <w:color w:val="002060"/>
        </w:rPr>
        <w:t>e</w:t>
      </w:r>
      <w:r>
        <w:t xml:space="preserve"> electrică furnizată, lei/kWh;</w:t>
      </w:r>
    </w:p>
    <w:p w:rsidR="0051256C" w:rsidRDefault="00D62838" w:rsidP="00E63401">
      <w:pPr>
        <w:pStyle w:val="NormalWeb"/>
        <w:ind w:firstLine="709"/>
      </w:pPr>
      <w:r>
        <w:t>2) tarif pentru puterea electrică contractată, lei/kW.</w:t>
      </w:r>
    </w:p>
    <w:p w:rsidR="0051256C" w:rsidRDefault="00D62838" w:rsidP="00E63401">
      <w:pPr>
        <w:pStyle w:val="NormalWeb"/>
        <w:ind w:firstLine="709"/>
      </w:pPr>
      <w:r>
        <w:t>În acest caz, veniturile Furnizorului de la furnizarea energiei electrice consumatorilor finali prin re</w:t>
      </w:r>
      <w:r w:rsidR="00972962">
        <w:t>ț</w:t>
      </w:r>
      <w:r>
        <w:t>elele electrice de distribu</w:t>
      </w:r>
      <w:r w:rsidR="00972962">
        <w:t>ț</w:t>
      </w:r>
      <w:r>
        <w:t>ie (VF</w:t>
      </w:r>
      <w:r>
        <w:rPr>
          <w:vertAlign w:val="subscript"/>
        </w:rPr>
        <w:t>nd</w:t>
      </w:r>
      <w:r>
        <w:t xml:space="preserve">) </w:t>
      </w:r>
      <w:r w:rsidR="00972962">
        <w:t>ș</w:t>
      </w:r>
      <w:r>
        <w:t>i, respectiv, plata necesară de a fi achitată pentru energia electrică furnizată în anul “n” de către consumatorii finali ale căror instala</w:t>
      </w:r>
      <w:r w:rsidR="00972962">
        <w:t>ț</w:t>
      </w:r>
      <w:r>
        <w:t>ii electrice sunt racordate la re</w:t>
      </w:r>
      <w:r w:rsidR="00972962">
        <w:t>ț</w:t>
      </w:r>
      <w:r>
        <w:t>elele electrice de distribu</w:t>
      </w:r>
      <w:r w:rsidR="00972962">
        <w:t>ț</w:t>
      </w:r>
      <w:r>
        <w:t>ie (PAC</w:t>
      </w:r>
      <w:r>
        <w:rPr>
          <w:vertAlign w:val="subscript"/>
        </w:rPr>
        <w:t>nd</w:t>
      </w:r>
      <w:r>
        <w:t>), se vordetermina reie</w:t>
      </w:r>
      <w:r w:rsidR="00972962">
        <w:t>ș</w:t>
      </w:r>
      <w:r>
        <w:t xml:space="preserve">ind din energia electrică furnizată (consumată) precum </w:t>
      </w:r>
      <w:r w:rsidR="00972962">
        <w:t>ș</w:t>
      </w:r>
      <w:r>
        <w:t>i din puterea contractată de către consumatorii finali,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r>
        <w:rPr>
          <w:i/>
          <w:iCs/>
        </w:rPr>
        <w:t xml:space="preserve"> = PAC</w:t>
      </w:r>
      <w:r>
        <w:rPr>
          <w:i/>
          <w:iCs/>
          <w:vertAlign w:val="subscript"/>
        </w:rPr>
        <w:t>nd</w:t>
      </w:r>
      <w:r>
        <w:rPr>
          <w:i/>
          <w:iCs/>
        </w:rPr>
        <w:t xml:space="preserve"> = EFC</w:t>
      </w:r>
      <w:r>
        <w:rPr>
          <w:i/>
          <w:iCs/>
          <w:vertAlign w:val="subscript"/>
        </w:rPr>
        <w:t>nd</w:t>
      </w:r>
      <w:r>
        <w:rPr>
          <w:i/>
          <w:iCs/>
        </w:rPr>
        <w:t xml:space="preserve"> × </w:t>
      </w:r>
      <w:r w:rsidR="00F04B7C">
        <w:rPr>
          <w:i/>
          <w:iCs/>
        </w:rPr>
        <w:t>P</w:t>
      </w:r>
      <w:r>
        <w:rPr>
          <w:i/>
          <w:iCs/>
        </w:rPr>
        <w:t>FE</w:t>
      </w:r>
      <w:r>
        <w:rPr>
          <w:i/>
          <w:iCs/>
          <w:vertAlign w:val="subscript"/>
        </w:rPr>
        <w:t>nd</w:t>
      </w:r>
      <w:r>
        <w:rPr>
          <w:i/>
          <w:iCs/>
        </w:rPr>
        <w:t>+ ∑TP</w:t>
      </w:r>
      <w:r>
        <w:rPr>
          <w:i/>
          <w:iCs/>
          <w:vertAlign w:val="subscript"/>
        </w:rPr>
        <w:t>nk</w:t>
      </w:r>
      <w:r>
        <w:rPr>
          <w:i/>
          <w:iCs/>
        </w:rPr>
        <w:t>× PC</w:t>
      </w:r>
      <w:r>
        <w:rPr>
          <w:i/>
          <w:iCs/>
          <w:vertAlign w:val="subscript"/>
        </w:rPr>
        <w:t>nk</w:t>
      </w:r>
      <w:r>
        <w:t xml:space="preserve"> (1</w:t>
      </w:r>
      <w:r w:rsidR="00E63401">
        <w:t>5</w:t>
      </w:r>
      <w:r>
        <w:t xml:space="preserve">)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EFC</w:t>
      </w:r>
      <w:r>
        <w:rPr>
          <w:i/>
          <w:iCs/>
          <w:vertAlign w:val="subscript"/>
        </w:rPr>
        <w:t>nd</w:t>
      </w:r>
      <w:r>
        <w:t>– cantitatea de energie electrică furnizată în anul “n”, consumatorilor finali ale căror instala</w:t>
      </w:r>
      <w:r w:rsidR="00972962">
        <w:t>ț</w:t>
      </w:r>
      <w:r>
        <w:t>ii electrice sunt racordate la re</w:t>
      </w:r>
      <w:r w:rsidR="00972962">
        <w:t>ț</w:t>
      </w:r>
      <w:r>
        <w:t>elele electrice de distribu</w:t>
      </w:r>
      <w:r w:rsidR="00972962">
        <w:t>ț</w:t>
      </w:r>
      <w:r>
        <w:t>ie (,,TÎ”, ,,TM”, ,,TJ”)</w:t>
      </w:r>
      <w:r w:rsidR="00BB2F70">
        <w:t>, kWh</w:t>
      </w:r>
      <w:r>
        <w:t>;</w:t>
      </w:r>
    </w:p>
    <w:p w:rsidR="0051256C" w:rsidRDefault="00F04B7C" w:rsidP="00E63401">
      <w:pPr>
        <w:pStyle w:val="NormalWeb"/>
        <w:ind w:firstLine="709"/>
      </w:pPr>
      <w:r>
        <w:rPr>
          <w:i/>
          <w:iCs/>
        </w:rPr>
        <w:t>P</w:t>
      </w:r>
      <w:r w:rsidR="00D62838">
        <w:rPr>
          <w:i/>
          <w:iCs/>
        </w:rPr>
        <w:t>FE</w:t>
      </w:r>
      <w:r w:rsidR="00D62838">
        <w:rPr>
          <w:i/>
          <w:iCs/>
          <w:vertAlign w:val="subscript"/>
        </w:rPr>
        <w:t>nd</w:t>
      </w:r>
      <w:r w:rsidR="00D62838">
        <w:t xml:space="preserve"> – pre</w:t>
      </w:r>
      <w:r w:rsidR="00972962">
        <w:t>ț</w:t>
      </w:r>
      <w:r w:rsidR="00D62838">
        <w:t>ulreglementat pentru energia electrică furnizată în anul “n”, consumatorilor finali ale căror instala</w:t>
      </w:r>
      <w:r w:rsidR="00972962">
        <w:t>ț</w:t>
      </w:r>
      <w:r w:rsidR="00D62838">
        <w:t>ii electrice sunt racordate la re</w:t>
      </w:r>
      <w:r w:rsidR="00972962">
        <w:t>ț</w:t>
      </w:r>
      <w:r w:rsidR="00D62838">
        <w:t>elele electrice de distribu</w:t>
      </w:r>
      <w:r w:rsidR="00972962">
        <w:t>ț</w:t>
      </w:r>
      <w:r w:rsidR="00D62838">
        <w:t>ie, lei/kWh. Acest pre</w:t>
      </w:r>
      <w:r w:rsidR="00972962">
        <w:t>ț</w:t>
      </w:r>
      <w:r w:rsidR="00D62838">
        <w:t xml:space="preserve"> se determină conform formulei:</w:t>
      </w:r>
    </w:p>
    <w:p w:rsidR="0051256C" w:rsidRDefault="00D62838" w:rsidP="00E60B57">
      <w:pPr>
        <w:pStyle w:val="NormalWeb"/>
        <w:ind w:firstLine="709"/>
      </w:pPr>
      <w:r>
        <w:t> </w:t>
      </w: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PFE</m:t>
              </m:r>
            </m:e>
            <m:sub>
              <m:r>
                <w:rPr>
                  <w:rFonts w:ascii="Cambria Math" w:hAnsi="Cambria Math"/>
                </w:rPr>
                <m:t>nd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  (16)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lastRenderedPageBreak/>
        <w:t>PC</w:t>
      </w:r>
      <w:r>
        <w:rPr>
          <w:i/>
          <w:iCs/>
          <w:vertAlign w:val="subscript"/>
        </w:rPr>
        <w:t>nk</w:t>
      </w:r>
      <w:r>
        <w:t>– putereacontractată în anul “n” de către consumatorii finali ale căror instala</w:t>
      </w:r>
      <w:r w:rsidR="00972962">
        <w:t>ț</w:t>
      </w:r>
      <w:r>
        <w:t>ii electrice sunt racordate la re</w:t>
      </w:r>
      <w:r w:rsidR="00972962">
        <w:t>ț</w:t>
      </w:r>
      <w:r>
        <w:t>elele electrice de distribu</w:t>
      </w:r>
      <w:r w:rsidR="00972962">
        <w:t>ț</w:t>
      </w:r>
      <w:r>
        <w:t>ie corespunzător nivelului “k” de tensiune, kW;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TP</w:t>
      </w:r>
      <w:r>
        <w:rPr>
          <w:i/>
          <w:iCs/>
          <w:vertAlign w:val="subscript"/>
        </w:rPr>
        <w:t>nk</w:t>
      </w:r>
      <w:r>
        <w:t xml:space="preserve"> – tarifulîn anul “n” pentru puterea electrică contractată aferentă re</w:t>
      </w:r>
      <w:r w:rsidR="00972962">
        <w:t>ț</w:t>
      </w:r>
      <w:r>
        <w:t>elelor electrice de distribu</w:t>
      </w:r>
      <w:r w:rsidR="00972962">
        <w:t>ț</w:t>
      </w:r>
      <w:r>
        <w:t xml:space="preserve">ie cu nivelul “k” de tensiune, </w:t>
      </w:r>
      <w:r w:rsidR="006C1315">
        <w:t>lei/</w:t>
      </w:r>
      <w:r>
        <w:t xml:space="preserve">kW. Tarifele pentru puterea electrică contractată se determină în conformitate cu Metodologia de calculare, aprobare </w:t>
      </w:r>
      <w:r w:rsidR="00972962">
        <w:t>ș</w:t>
      </w:r>
      <w:r>
        <w:t>i ajustare a tarifelor pentru serviciul de distribu</w:t>
      </w:r>
      <w:r w:rsidR="00972962">
        <w:t>ț</w:t>
      </w:r>
      <w:r>
        <w:t xml:space="preserve">ie a energiei electrice </w:t>
      </w:r>
      <w:r w:rsidR="00972962">
        <w:t>ș</w:t>
      </w:r>
      <w:r>
        <w:t xml:space="preserve">i se aprobă de către </w:t>
      </w:r>
      <w:r w:rsidR="00603FC3">
        <w:t>Agenție</w:t>
      </w:r>
      <w:r>
        <w:t xml:space="preserve"> în modul stabilit de lege în lei/kW/lună pentru fiecare nivel de tensiune a re</w:t>
      </w:r>
      <w:r w:rsidR="00972962">
        <w:t>ț</w:t>
      </w:r>
      <w:r>
        <w:t>elelor electrice de distribu</w:t>
      </w:r>
      <w:r w:rsidR="00972962">
        <w:t>ț</w:t>
      </w:r>
      <w:r>
        <w:t xml:space="preserve">ie (,,TÎ”, ,,TM” </w:t>
      </w:r>
      <w:r w:rsidR="00972962">
        <w:t>ș</w:t>
      </w:r>
      <w:r>
        <w:t>i ,,TJ”).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8.</w:t>
      </w:r>
      <w:r>
        <w:t xml:space="preserve"> Atât pre</w:t>
      </w:r>
      <w:r w:rsidR="00972962">
        <w:t>ț</w:t>
      </w:r>
      <w:r>
        <w:t xml:space="preserve">urile reglementate de furnizare a energiei electrice de tip monom, </w:t>
      </w:r>
      <w:r w:rsidR="00B32511">
        <w:t xml:space="preserve">cât </w:t>
      </w:r>
      <w:r w:rsidR="00972962">
        <w:t>ș</w:t>
      </w:r>
      <w:r>
        <w:t>i cele de tip binom pot fi diferen</w:t>
      </w:r>
      <w:r w:rsidR="00972962">
        <w:t>ț</w:t>
      </w:r>
      <w:r>
        <w:t>iate în func</w:t>
      </w:r>
      <w:r w:rsidR="00972962">
        <w:t>ț</w:t>
      </w:r>
      <w:r>
        <w:t>ie de orele de consum. Pre</w:t>
      </w:r>
      <w:r w:rsidR="00972962">
        <w:t>ț</w:t>
      </w:r>
      <w:r>
        <w:t>urile reglementate de furnizare a energiei electrice în func</w:t>
      </w:r>
      <w:r w:rsidR="00972962">
        <w:t>ț</w:t>
      </w:r>
      <w:r>
        <w:t xml:space="preserve">ie de orele de consum se determină de Furnizor </w:t>
      </w:r>
      <w:r w:rsidR="00972962">
        <w:t>ș</w:t>
      </w:r>
      <w:r>
        <w:t xml:space="preserve">i se aprobă de </w:t>
      </w:r>
      <w:r w:rsidR="00603FC3">
        <w:t>Agenție</w:t>
      </w:r>
      <w:r>
        <w:t xml:space="preserve"> în modul stabilit de lege, reie</w:t>
      </w:r>
      <w:r w:rsidR="00972962">
        <w:t>ș</w:t>
      </w:r>
      <w:r>
        <w:t>ind din condi</w:t>
      </w:r>
      <w:r w:rsidR="00972962">
        <w:t>ț</w:t>
      </w:r>
      <w:r>
        <w:t xml:space="preserve">iile stipulate în contractele de procurare a energiei electrice de la producătorii autohtoni </w:t>
      </w:r>
      <w:r w:rsidR="00972962">
        <w:t>ș</w:t>
      </w:r>
      <w:r>
        <w:t>i din import privind pre</w:t>
      </w:r>
      <w:r w:rsidR="00972962">
        <w:t>ț</w:t>
      </w:r>
      <w:r>
        <w:t>urile de procurare a energiei electrice, diferen</w:t>
      </w:r>
      <w:r w:rsidR="00972962">
        <w:t>ț</w:t>
      </w:r>
      <w:r>
        <w:t>iate în func</w:t>
      </w:r>
      <w:r w:rsidR="00972962">
        <w:t>ț</w:t>
      </w:r>
      <w:r>
        <w:t xml:space="preserve">ie de orele de consum (orele de zi, orele de noapte </w:t>
      </w:r>
      <w:r w:rsidR="00972962">
        <w:t>ș</w:t>
      </w:r>
      <w:r>
        <w:t>i orele de vârf). În acest caz, pre</w:t>
      </w:r>
      <w:r w:rsidR="00972962">
        <w:t>ț</w:t>
      </w:r>
      <w:r>
        <w:t>urile reglementate de furnizare a energiei electrice se determină în conformitate cu formulele (</w:t>
      </w:r>
      <w:r w:rsidR="00E63401">
        <w:t>9</w:t>
      </w:r>
      <w:r>
        <w:t>), (1</w:t>
      </w:r>
      <w:r w:rsidR="00E63401">
        <w:t>1</w:t>
      </w:r>
      <w:r>
        <w:t>)–(1</w:t>
      </w:r>
      <w:r w:rsidR="00E63401">
        <w:t>6</w:t>
      </w:r>
      <w:r>
        <w:t xml:space="preserve">) din </w:t>
      </w:r>
      <w:r w:rsidR="001B1E48">
        <w:t xml:space="preserve">prezenta </w:t>
      </w:r>
      <w:r>
        <w:t>Metodologie pentru fiecare interval al orelor de consum reie</w:t>
      </w:r>
      <w:r w:rsidR="00972962">
        <w:t>ș</w:t>
      </w:r>
      <w:r>
        <w:t>ind din costul energiei electrice procurate, determinat separat pentru fiecare interval al orelor de consum, iar celelalte componente ale pre</w:t>
      </w:r>
      <w:r w:rsidR="00972962">
        <w:t>ț</w:t>
      </w:r>
      <w:r>
        <w:t>urilor reglementate nu depind de orele de consum.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p"/>
        <w:ind w:firstLine="709"/>
      </w:pPr>
      <w:r>
        <w:t>Sec</w:t>
      </w:r>
      <w:r w:rsidR="00972962">
        <w:t>ț</w:t>
      </w:r>
      <w:r>
        <w:t>iunea 4</w:t>
      </w:r>
    </w:p>
    <w:p w:rsidR="0051256C" w:rsidRDefault="00D62838" w:rsidP="00E63401">
      <w:pPr>
        <w:pStyle w:val="cp"/>
        <w:ind w:firstLine="709"/>
      </w:pPr>
      <w:r>
        <w:t xml:space="preserve">DETERMINAREA </w:t>
      </w:r>
      <w:r w:rsidR="0092663B">
        <w:t>COSTURI</w:t>
      </w:r>
      <w:r>
        <w:t xml:space="preserve">LOR </w:t>
      </w:r>
      <w:r w:rsidR="00972962">
        <w:t>Ș</w:t>
      </w:r>
      <w:r>
        <w:t>I A CHELTUIELILOR</w:t>
      </w:r>
    </w:p>
    <w:p w:rsidR="0051256C" w:rsidRDefault="00D62838" w:rsidP="00E63401">
      <w:pPr>
        <w:pStyle w:val="NormalWeb"/>
        <w:spacing w:after="120"/>
        <w:ind w:firstLine="709"/>
      </w:pPr>
      <w:r>
        <w:rPr>
          <w:b/>
          <w:bCs/>
        </w:rPr>
        <w:t>9.</w:t>
      </w:r>
      <w:r>
        <w:t xml:space="preserve"> După cum s-a men</w:t>
      </w:r>
      <w:r w:rsidR="00972962">
        <w:t>ț</w:t>
      </w:r>
      <w:r>
        <w:t>ionat în punctul 4 al Metodologiei, în componen</w:t>
      </w:r>
      <w:r w:rsidR="00972962">
        <w:t>ț</w:t>
      </w:r>
      <w:r>
        <w:t xml:space="preserve">a costurilor </w:t>
      </w:r>
      <w:r w:rsidR="00972962">
        <w:t>ș</w:t>
      </w:r>
      <w:r>
        <w:t>i a cheltuielilor totale ale Furnizorului se includ costul energiei electrice procurate de către Furnizor pentru a fi furnizată în anul de reglementare “n” tuturorconsumatorilor (CEP</w:t>
      </w:r>
      <w:r>
        <w:rPr>
          <w:vertAlign w:val="subscript"/>
        </w:rPr>
        <w:t>n</w:t>
      </w:r>
      <w:r>
        <w:t>), cheltuielilesuportate de Furnizor pentru achitarea serviciului de transport al energieielectrice (CST</w:t>
      </w:r>
      <w:r>
        <w:rPr>
          <w:vertAlign w:val="subscript"/>
        </w:rPr>
        <w:t>n</w:t>
      </w:r>
      <w:r>
        <w:t>), prestat de operatorul sistemului de transport, cheltuielile suportate de Furnizor pentru achitarea serviciului de distribu</w:t>
      </w:r>
      <w:r w:rsidR="00972962">
        <w:t>ț</w:t>
      </w:r>
      <w:r>
        <w:t>ie a energieielectrice (CSD</w:t>
      </w:r>
      <w:r>
        <w:rPr>
          <w:vertAlign w:val="subscript"/>
        </w:rPr>
        <w:t>n</w:t>
      </w:r>
      <w:r>
        <w:t>), prestat de operatorul sistemului de distribu</w:t>
      </w:r>
      <w:r w:rsidR="00972962">
        <w:t>ț</w:t>
      </w:r>
      <w:r>
        <w:t xml:space="preserve">ie </w:t>
      </w:r>
      <w:r w:rsidR="00972962">
        <w:t>ș</w:t>
      </w:r>
      <w:r>
        <w:t xml:space="preserve">i costurile </w:t>
      </w:r>
      <w:r w:rsidR="00972962">
        <w:t>ș</w:t>
      </w:r>
      <w:r>
        <w:t>i cheltuielile Furnizorului aferente desfă</w:t>
      </w:r>
      <w:r w:rsidR="00972962">
        <w:t>ș</w:t>
      </w:r>
      <w:r>
        <w:t>urării activită</w:t>
      </w:r>
      <w:r w:rsidR="00972962">
        <w:t>ț</w:t>
      </w:r>
      <w:r>
        <w:t>ii de furnizare a energieielectrice (CSF</w:t>
      </w:r>
      <w:r>
        <w:rPr>
          <w:vertAlign w:val="subscript"/>
        </w:rPr>
        <w:t>n</w:t>
      </w:r>
      <w:r>
        <w:t>).</w:t>
      </w:r>
    </w:p>
    <w:p w:rsidR="0051256C" w:rsidRPr="002E3A0B" w:rsidRDefault="00D62838" w:rsidP="00E63401">
      <w:pPr>
        <w:pStyle w:val="NormalWeb"/>
        <w:ind w:firstLine="709"/>
      </w:pPr>
      <w:r>
        <w:rPr>
          <w:b/>
          <w:bCs/>
        </w:rPr>
        <w:t>10.</w:t>
      </w:r>
      <w:r>
        <w:t xml:space="preserve"> Costul energiei electrice procurate în anul de reglementare “n” se determină reie</w:t>
      </w:r>
      <w:r w:rsidR="00972962">
        <w:t>ș</w:t>
      </w:r>
      <w:r>
        <w:t xml:space="preserve">ind din cantitatea de energie electrică </w:t>
      </w:r>
      <w:r w:rsidRPr="002E3A0B">
        <w:t>procurată pentru furnizare tuturor consumatorilor deservi</w:t>
      </w:r>
      <w:r w:rsidR="00972962" w:rsidRPr="002E3A0B">
        <w:t>ț</w:t>
      </w:r>
      <w:r w:rsidRPr="002E3A0B">
        <w:t xml:space="preserve">i de Furnizor </w:t>
      </w:r>
      <w:r w:rsidR="00972962" w:rsidRPr="002E3A0B">
        <w:t>ș</w:t>
      </w:r>
      <w:r w:rsidRPr="002E3A0B">
        <w:t>i din pre</w:t>
      </w:r>
      <w:r w:rsidR="00972962" w:rsidRPr="002E3A0B">
        <w:t>ț</w:t>
      </w:r>
      <w:r w:rsidRPr="002E3A0B">
        <w:t>urile de procurare a acestei energii electrice, conform formulei:</w:t>
      </w:r>
    </w:p>
    <w:p w:rsidR="0051256C" w:rsidRPr="002E3A0B" w:rsidRDefault="00D62838" w:rsidP="00E63401">
      <w:pPr>
        <w:pStyle w:val="NormalWeb"/>
        <w:ind w:firstLine="709"/>
      </w:pPr>
      <w:r w:rsidRPr="002E3A0B">
        <w:t> </w:t>
      </w:r>
    </w:p>
    <w:p w:rsidR="0051256C" w:rsidRPr="002E3A0B" w:rsidRDefault="00D62838" w:rsidP="00E63401">
      <w:pPr>
        <w:pStyle w:val="cn"/>
        <w:ind w:firstLine="709"/>
      </w:pPr>
      <w:r w:rsidRPr="002E3A0B">
        <w:rPr>
          <w:i/>
          <w:iCs/>
        </w:rPr>
        <w:t>CEP</w:t>
      </w:r>
      <w:r w:rsidRPr="002E3A0B">
        <w:rPr>
          <w:i/>
          <w:iCs/>
          <w:vertAlign w:val="subscript"/>
        </w:rPr>
        <w:t>n</w:t>
      </w:r>
      <w:r w:rsidRPr="002E3A0B">
        <w:rPr>
          <w:i/>
          <w:iCs/>
        </w:rPr>
        <w:t xml:space="preserve"> = EP</w:t>
      </w:r>
      <w:r w:rsidRPr="002E3A0B">
        <w:rPr>
          <w:i/>
          <w:iCs/>
          <w:vertAlign w:val="subscript"/>
        </w:rPr>
        <w:t>n</w:t>
      </w:r>
      <w:r w:rsidRPr="002E3A0B">
        <w:rPr>
          <w:i/>
          <w:iCs/>
        </w:rPr>
        <w:t>× PE</w:t>
      </w:r>
      <w:r w:rsidRPr="002E3A0B">
        <w:rPr>
          <w:i/>
          <w:iCs/>
          <w:vertAlign w:val="subscript"/>
        </w:rPr>
        <w:t>n</w:t>
      </w:r>
      <w:r w:rsidRPr="002E3A0B">
        <w:t>(1</w:t>
      </w:r>
      <w:r w:rsidR="00E63401">
        <w:t>7</w:t>
      </w:r>
      <w:r w:rsidRPr="002E3A0B">
        <w:t>)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EP</w:t>
      </w:r>
      <w:r>
        <w:rPr>
          <w:i/>
          <w:iCs/>
          <w:vertAlign w:val="subscript"/>
        </w:rPr>
        <w:t>n</w:t>
      </w:r>
      <w:r>
        <w:t xml:space="preserve"> – cantitateatotală de energie electrică necesară a fi procurată de Furnizor în anul “n” pentru a fi furnizată tuturor consumatorilor, deservi</w:t>
      </w:r>
      <w:r w:rsidR="00972962">
        <w:t>ț</w:t>
      </w:r>
      <w:r>
        <w:t xml:space="preserve">i de acesta, precum </w:t>
      </w:r>
      <w:r w:rsidR="00972962">
        <w:t>ș</w:t>
      </w:r>
      <w:r>
        <w:t xml:space="preserve">i, după caz, operatorului </w:t>
      </w:r>
      <w:r w:rsidR="007A55C3">
        <w:t>sistemului</w:t>
      </w:r>
      <w:r>
        <w:t xml:space="preserve"> de transport </w:t>
      </w:r>
      <w:r w:rsidR="00972962">
        <w:t>ș</w:t>
      </w:r>
      <w:r>
        <w:t xml:space="preserve">i operatorilor </w:t>
      </w:r>
      <w:r w:rsidR="007A55C3">
        <w:t>sistemelor</w:t>
      </w:r>
      <w:r>
        <w:t xml:space="preserve"> de distribu</w:t>
      </w:r>
      <w:r w:rsidR="00972962">
        <w:t>ț</w:t>
      </w:r>
      <w:r>
        <w:t>ie (kWh);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</w:t>
      </w:r>
      <w:r>
        <w:rPr>
          <w:i/>
          <w:iCs/>
          <w:vertAlign w:val="subscript"/>
        </w:rPr>
        <w:t>n</w:t>
      </w:r>
      <w:r>
        <w:t xml:space="preserve"> – pre</w:t>
      </w:r>
      <w:r w:rsidR="00972962">
        <w:t>ț</w:t>
      </w:r>
      <w:r>
        <w:t xml:space="preserve">ulmediu de procurare în anul “n” a energiei electrice de către Furnizor de la producătorii autohtoni </w:t>
      </w:r>
      <w:r w:rsidR="00972962">
        <w:t>ș</w:t>
      </w:r>
      <w:r>
        <w:t>i din import (lei/kWh). Acest pre</w:t>
      </w:r>
      <w:r w:rsidR="00972962">
        <w:t>ț</w:t>
      </w:r>
      <w:r>
        <w:t xml:space="preserve"> se bazează pe pre</w:t>
      </w:r>
      <w:r w:rsidR="00972962">
        <w:t>ț</w:t>
      </w:r>
      <w:r>
        <w:t xml:space="preserve">urile aprobate de </w:t>
      </w:r>
      <w:r w:rsidR="00603FC3">
        <w:t>Agenție</w:t>
      </w:r>
      <w:r>
        <w:t xml:space="preserve"> în cazul procurării energiei electrice de la producătorii autohtoni reglementa</w:t>
      </w:r>
      <w:r w:rsidR="00972962">
        <w:t>ț</w:t>
      </w:r>
      <w:r>
        <w:t xml:space="preserve">i </w:t>
      </w:r>
      <w:r w:rsidR="00972962">
        <w:t>ș</w:t>
      </w:r>
      <w:r>
        <w:t>i pe pre</w:t>
      </w:r>
      <w:r w:rsidR="00972962">
        <w:t>ț</w:t>
      </w:r>
      <w:r>
        <w:t xml:space="preserve">urile prevăzute în contractele de procurare a energiei electrice în cazul procurării energiei electrice din import </w:t>
      </w:r>
      <w:r w:rsidR="00972962">
        <w:t>ș</w:t>
      </w:r>
      <w:r>
        <w:t>i de la producătorii pre</w:t>
      </w:r>
      <w:r w:rsidR="00972962">
        <w:t>ț</w:t>
      </w:r>
      <w:r>
        <w:t>urile cărora nu sunt reglementate. Acest pre</w:t>
      </w:r>
      <w:r w:rsidR="00972962">
        <w:t>ț</w:t>
      </w:r>
      <w:r>
        <w:t xml:space="preserve"> se determină în felul următor: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PER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EPR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PELS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EPL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PEB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EPB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EPT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(18)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PER</w:t>
      </w:r>
      <w:r>
        <w:rPr>
          <w:i/>
          <w:iCs/>
          <w:vertAlign w:val="subscript"/>
        </w:rPr>
        <w:t>n</w:t>
      </w:r>
      <w:r>
        <w:t xml:space="preserve"> – pre</w:t>
      </w:r>
      <w:r w:rsidR="00972962">
        <w:t>ț</w:t>
      </w:r>
      <w:r>
        <w:t>ulmediu ponderat de procurare de către Furnizor în anul “n” a energiei electrice de la producătorii autohtoni pre</w:t>
      </w:r>
      <w:r w:rsidR="00972962">
        <w:t>ț</w:t>
      </w:r>
      <w:r>
        <w:t>urile cărora sunt reglementate</w:t>
      </w:r>
      <w:r w:rsidR="001B1E48">
        <w:t>,</w:t>
      </w:r>
      <w:r>
        <w:t xml:space="preserve"> lei/kWh;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lastRenderedPageBreak/>
        <w:t>EPR</w:t>
      </w:r>
      <w:r>
        <w:rPr>
          <w:i/>
          <w:iCs/>
          <w:vertAlign w:val="subscript"/>
        </w:rPr>
        <w:t>n</w:t>
      </w:r>
      <w:r>
        <w:t xml:space="preserve"> – cantitatea de energie electrică procurată de către Furnizor în anul “n” de la producătorii autohtoni pre</w:t>
      </w:r>
      <w:r w:rsidR="00972962">
        <w:t>ț</w:t>
      </w:r>
      <w:r>
        <w:t>urile cărora sunt reglementate, 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PELS</w:t>
      </w:r>
      <w:r>
        <w:rPr>
          <w:i/>
          <w:iCs/>
          <w:vertAlign w:val="subscript"/>
        </w:rPr>
        <w:t>n</w:t>
      </w:r>
      <w:r>
        <w:t>– pre</w:t>
      </w:r>
      <w:r w:rsidR="00972962">
        <w:t>ț</w:t>
      </w:r>
      <w:r>
        <w:t xml:space="preserve">ulmediu ponderat, cu stimulente, de procurare de către Furnizor în anul “n” a energiei electrice din import </w:t>
      </w:r>
      <w:r w:rsidR="00972962">
        <w:t>ș</w:t>
      </w:r>
      <w:r>
        <w:t>i din surse autohtone la pre</w:t>
      </w:r>
      <w:r w:rsidR="00972962">
        <w:t>ț</w:t>
      </w:r>
      <w:r>
        <w:t>uri libere (nereglementate) de pe pia</w:t>
      </w:r>
      <w:r w:rsidR="00972962">
        <w:t>ț</w:t>
      </w:r>
      <w:r>
        <w:t>ă lei/kWh. Acest pre</w:t>
      </w:r>
      <w:r w:rsidR="00972962">
        <w:t>ț</w:t>
      </w:r>
      <w:r>
        <w:t xml:space="preserve">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PELS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PEL</w:t>
      </w:r>
      <w:r>
        <w:rPr>
          <w:i/>
          <w:iCs/>
          <w:vertAlign w:val="subscript"/>
        </w:rPr>
        <w:t>n</w:t>
      </w:r>
      <w:r>
        <w:rPr>
          <w:i/>
          <w:iCs/>
        </w:rPr>
        <w:t>+ K × (PEL</w:t>
      </w:r>
      <w:r>
        <w:rPr>
          <w:i/>
          <w:iCs/>
          <w:vertAlign w:val="subscript"/>
        </w:rPr>
        <w:t>n-1</w:t>
      </w:r>
      <w:r>
        <w:rPr>
          <w:i/>
          <w:iCs/>
        </w:rPr>
        <w:t xml:space="preserve"> – PEL</w:t>
      </w:r>
      <w:r>
        <w:rPr>
          <w:i/>
          <w:iCs/>
          <w:vertAlign w:val="subscript"/>
        </w:rPr>
        <w:t>n</w:t>
      </w:r>
      <w:r>
        <w:rPr>
          <w:i/>
          <w:iCs/>
        </w:rPr>
        <w:t>)</w:t>
      </w:r>
      <w:r>
        <w:t xml:space="preserve"> (</w:t>
      </w:r>
      <w:r w:rsidR="00E63401">
        <w:t>19</w:t>
      </w:r>
      <w:r>
        <w:t xml:space="preserve">)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PEL</w:t>
      </w:r>
      <w:r>
        <w:rPr>
          <w:i/>
          <w:iCs/>
          <w:vertAlign w:val="subscript"/>
        </w:rPr>
        <w:t>n</w:t>
      </w:r>
      <w:r>
        <w:t>–pre</w:t>
      </w:r>
      <w:r w:rsidR="00972962">
        <w:t>ț</w:t>
      </w:r>
      <w:r>
        <w:t xml:space="preserve">ulmediu ponderat de procurare de către Furnizor a energiei electrice în anul “n” din import </w:t>
      </w:r>
      <w:r w:rsidR="00972962">
        <w:t>ș</w:t>
      </w:r>
      <w:r>
        <w:t>i din sursele autohtone la pre</w:t>
      </w:r>
      <w:r w:rsidR="00972962">
        <w:t>ț</w:t>
      </w:r>
      <w:r>
        <w:t>uri libere de pe pia</w:t>
      </w:r>
      <w:r w:rsidR="00972962">
        <w:t>ț</w:t>
      </w:r>
      <w:r>
        <w:t>ă lei/kWh;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PEL</w:t>
      </w:r>
      <w:r>
        <w:rPr>
          <w:i/>
          <w:iCs/>
          <w:vertAlign w:val="subscript"/>
        </w:rPr>
        <w:t>n-1</w:t>
      </w:r>
      <w:r>
        <w:t xml:space="preserve"> – pre</w:t>
      </w:r>
      <w:r w:rsidR="00972962">
        <w:t>ț</w:t>
      </w:r>
      <w:r>
        <w:t xml:space="preserve">ul mediu ponderat efectiv de procurare de către Furnizor în anul precedent (n-1) a energiei electrice din import </w:t>
      </w:r>
      <w:r w:rsidR="00972962">
        <w:t>ș</w:t>
      </w:r>
      <w:r>
        <w:t>i din sursele autohtone la pre</w:t>
      </w:r>
      <w:r w:rsidR="00972962">
        <w:t>ț</w:t>
      </w:r>
      <w:r>
        <w:t>uri libere de pe pia</w:t>
      </w:r>
      <w:r w:rsidR="00972962">
        <w:t>ț</w:t>
      </w:r>
      <w:r>
        <w:t>ă lei/kWh;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 xml:space="preserve">K </w:t>
      </w:r>
      <w:r>
        <w:t>– coeficientul de stimulare care este egal cu 0,5 în cazulîn care PEL</w:t>
      </w:r>
      <w:r>
        <w:rPr>
          <w:vertAlign w:val="subscript"/>
        </w:rPr>
        <w:t>n</w:t>
      </w:r>
      <w:r>
        <w:t>estemaimic decât PEL</w:t>
      </w:r>
      <w:r>
        <w:rPr>
          <w:vertAlign w:val="subscript"/>
        </w:rPr>
        <w:t>n-1,</w:t>
      </w:r>
      <w:r>
        <w:t xml:space="preserve"> în toate celelalte cazuri K=0. Coeficientul de stimulare prevede doar stimularea gestionării eficiente de către Furnizor a procurărilor de energie electrică astfel încât pre</w:t>
      </w:r>
      <w:r w:rsidR="00972962">
        <w:t>ț</w:t>
      </w:r>
      <w:r>
        <w:t>urile de procurare să fie cele mai mici de pe pia</w:t>
      </w:r>
      <w:r w:rsidR="00972962">
        <w:t>ț</w:t>
      </w:r>
      <w:r>
        <w:t>ă. La determinarea coeficientului de stimulare, nu se vor lua în considera</w:t>
      </w:r>
      <w:r w:rsidR="00972962">
        <w:t>ț</w:t>
      </w:r>
      <w:r>
        <w:t>ie diminuările pre</w:t>
      </w:r>
      <w:r w:rsidR="00972962">
        <w:t>ț</w:t>
      </w:r>
      <w:r>
        <w:t>urilor fa</w:t>
      </w:r>
      <w:r w:rsidR="00972962">
        <w:t>ț</w:t>
      </w:r>
      <w:r>
        <w:t>ă de anul precedent în rezultatul modificării cursului de schimb al leului moldovenesc fa</w:t>
      </w:r>
      <w:r w:rsidR="00972962">
        <w:t>ț</w:t>
      </w:r>
      <w:r>
        <w:t>ă de valuta în care se procură energia, în rezultatul negocierilor purtate de organele de stat, în rezultatul scăderii pre</w:t>
      </w:r>
      <w:r w:rsidR="00972962">
        <w:t>ț</w:t>
      </w:r>
      <w:r>
        <w:t>urilor la resursele energetice pe pia</w:t>
      </w:r>
      <w:r w:rsidR="00972962">
        <w:t>ț</w:t>
      </w:r>
      <w:r>
        <w:t>a interna</w:t>
      </w:r>
      <w:r w:rsidR="00972962">
        <w:t>ț</w:t>
      </w:r>
      <w:r>
        <w:t xml:space="preserve">ională </w:t>
      </w:r>
      <w:r w:rsidR="00972962">
        <w:t>ș</w:t>
      </w:r>
      <w:r>
        <w:t>i alte diminuări de pre</w:t>
      </w:r>
      <w:r w:rsidR="00972962">
        <w:t>ț</w:t>
      </w:r>
      <w:r>
        <w:t xml:space="preserve">uri care nu </w:t>
      </w:r>
      <w:r w:rsidR="00972962">
        <w:t>ț</w:t>
      </w:r>
      <w:r>
        <w:t>in nemijlocit de meritul Furnizorului.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EPL</w:t>
      </w:r>
      <w:r>
        <w:rPr>
          <w:i/>
          <w:iCs/>
          <w:vertAlign w:val="subscript"/>
        </w:rPr>
        <w:t>n</w:t>
      </w:r>
      <w:r>
        <w:t xml:space="preserve"> – cantitatea de energie electrică procurată de către Furnizor în anul “n” din import </w:t>
      </w:r>
      <w:r w:rsidR="00972962">
        <w:t>ș</w:t>
      </w:r>
      <w:r>
        <w:t>i d</w:t>
      </w:r>
      <w:r w:rsidR="00E97F28">
        <w:t xml:space="preserve">e la producătorii </w:t>
      </w:r>
      <w:r>
        <w:t>autohton</w:t>
      </w:r>
      <w:r w:rsidR="00E97F28">
        <w:t>i</w:t>
      </w:r>
      <w:r>
        <w:t xml:space="preserve"> la pre</w:t>
      </w:r>
      <w:r w:rsidR="00972962">
        <w:t>ț</w:t>
      </w:r>
      <w:r>
        <w:t>uri libere de pe pia</w:t>
      </w:r>
      <w:r w:rsidR="00972962">
        <w:t>ț</w:t>
      </w:r>
      <w:r>
        <w:t>ă, 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PEB</w:t>
      </w:r>
      <w:r>
        <w:rPr>
          <w:i/>
          <w:iCs/>
          <w:vertAlign w:val="subscript"/>
        </w:rPr>
        <w:t>n</w:t>
      </w:r>
      <w:r>
        <w:t>– pre</w:t>
      </w:r>
      <w:r w:rsidR="00972962">
        <w:t>ț</w:t>
      </w:r>
      <w:r>
        <w:t xml:space="preserve">ulmediu ponderat al energiei electrice necesar a fi achitat în anul “n” de către Furnizor pentru energia electrică livrată de operatorul </w:t>
      </w:r>
      <w:r w:rsidR="00E97F28">
        <w:t>sistemului</w:t>
      </w:r>
      <w:r>
        <w:t xml:space="preserve"> de transport </w:t>
      </w:r>
      <w:r w:rsidR="00E97F28" w:rsidRPr="00E97F28">
        <w:t xml:space="preserve">pentru acoperirea dezechilibrelor provocate </w:t>
      </w:r>
      <w:r w:rsidR="00E97F28">
        <w:t>de</w:t>
      </w:r>
      <w:r>
        <w:t xml:space="preserve"> furnizor, lei/kWh;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EPB</w:t>
      </w:r>
      <w:r>
        <w:rPr>
          <w:i/>
          <w:iCs/>
          <w:vertAlign w:val="subscript"/>
        </w:rPr>
        <w:t>n</w:t>
      </w:r>
      <w:r>
        <w:t xml:space="preserve"> – cantitatea de energie electrică livrată în anul “n” de operatorul </w:t>
      </w:r>
      <w:r w:rsidR="00C0225E">
        <w:t>sistemului</w:t>
      </w:r>
      <w:r>
        <w:t xml:space="preserve"> de transport </w:t>
      </w:r>
      <w:r w:rsidR="00C0225E" w:rsidRPr="00C0225E">
        <w:t xml:space="preserve">necesară pentru acoperirea dezechilibrelor provocate de </w:t>
      </w:r>
      <w:r>
        <w:t xml:space="preserve">furnizor, kWh;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EPT</w:t>
      </w:r>
      <w:r>
        <w:rPr>
          <w:i/>
          <w:iCs/>
          <w:vertAlign w:val="subscript"/>
        </w:rPr>
        <w:t>n</w:t>
      </w:r>
      <w:r>
        <w:t>– cantitateatotală de energie electrică procurată de Furnizor în anul “n”, kWh. Cantitatea de energie electrică procurată trebuie să fie egală cu cantitatea de energie furnizată de furnizor tuturor consumatorilor. Adică: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EPT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EFC</w:t>
      </w:r>
      <w:r>
        <w:rPr>
          <w:i/>
          <w:iCs/>
          <w:vertAlign w:val="subscript"/>
        </w:rPr>
        <w:t>n</w:t>
      </w:r>
      <w:r>
        <w:t xml:space="preserve"> (</w:t>
      </w:r>
      <w:r w:rsidR="00E63401">
        <w:t>20</w:t>
      </w:r>
      <w:r>
        <w:t xml:space="preserve">)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11.</w:t>
      </w:r>
      <w:r>
        <w:t xml:space="preserve"> Cheltuielile suportate de Furnizor pentru serviciul de transport al energiei electrice, prestat de operatorul sistemului de transport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CST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ET</w:t>
      </w:r>
      <w:r>
        <w:rPr>
          <w:i/>
          <w:iCs/>
          <w:vertAlign w:val="subscript"/>
        </w:rPr>
        <w:t>n</w:t>
      </w:r>
      <w:r>
        <w:rPr>
          <w:i/>
          <w:iCs/>
        </w:rPr>
        <w:t>× TT</w:t>
      </w:r>
      <w:r>
        <w:rPr>
          <w:i/>
          <w:iCs/>
          <w:vertAlign w:val="subscript"/>
        </w:rPr>
        <w:t>n</w:t>
      </w:r>
      <w:r>
        <w:t>(</w:t>
      </w:r>
      <w:r w:rsidR="00E63401">
        <w:t>21</w:t>
      </w:r>
      <w:r>
        <w:t>)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ET</w:t>
      </w:r>
      <w:r>
        <w:rPr>
          <w:i/>
          <w:iCs/>
          <w:vertAlign w:val="subscript"/>
        </w:rPr>
        <w:t>n</w:t>
      </w:r>
      <w:r>
        <w:t xml:space="preserve">– cantitatea de energie electrică a Furnizorului transportată de operatorul </w:t>
      </w:r>
      <w:r w:rsidR="007A55C3">
        <w:t>sistemului</w:t>
      </w:r>
      <w:r>
        <w:t xml:space="preserve"> de transport în anul “n” prin re</w:t>
      </w:r>
      <w:r w:rsidR="00972962">
        <w:t>ț</w:t>
      </w:r>
      <w:r>
        <w:t>elele electrice de transport, kWh.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12.</w:t>
      </w:r>
      <w:r>
        <w:t xml:space="preserve"> Cheltuielile suportate de Furnizor pentru serviciul de distribu</w:t>
      </w:r>
      <w:r w:rsidR="00972962">
        <w:t>ț</w:t>
      </w:r>
      <w:r>
        <w:t>ie a energiei electrice, prestat de către operatorul sistemului de distribu</w:t>
      </w:r>
      <w:r w:rsidR="00972962">
        <w:t>ț</w:t>
      </w:r>
      <w:r>
        <w:t>ie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CSD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EFC</w:t>
      </w:r>
      <w:r>
        <w:rPr>
          <w:i/>
          <w:iCs/>
          <w:vertAlign w:val="subscript"/>
        </w:rPr>
        <w:t>nit</w:t>
      </w:r>
      <w:r>
        <w:rPr>
          <w:i/>
          <w:iCs/>
        </w:rPr>
        <w:t xml:space="preserve"> × TD</w:t>
      </w:r>
      <w:r>
        <w:rPr>
          <w:i/>
          <w:iCs/>
          <w:vertAlign w:val="subscript"/>
        </w:rPr>
        <w:t>nit</w:t>
      </w:r>
      <w:r>
        <w:rPr>
          <w:i/>
          <w:iCs/>
        </w:rPr>
        <w:t>+ EFC</w:t>
      </w:r>
      <w:r>
        <w:rPr>
          <w:i/>
          <w:iCs/>
          <w:vertAlign w:val="subscript"/>
        </w:rPr>
        <w:t>nmt</w:t>
      </w:r>
      <w:r>
        <w:rPr>
          <w:i/>
          <w:iCs/>
        </w:rPr>
        <w:t xml:space="preserve"> × TD</w:t>
      </w:r>
      <w:r>
        <w:rPr>
          <w:i/>
          <w:iCs/>
          <w:vertAlign w:val="subscript"/>
        </w:rPr>
        <w:t>nmt</w:t>
      </w:r>
      <w:r>
        <w:rPr>
          <w:i/>
          <w:iCs/>
        </w:rPr>
        <w:t>+ EFC</w:t>
      </w:r>
      <w:r>
        <w:rPr>
          <w:i/>
          <w:iCs/>
          <w:vertAlign w:val="subscript"/>
        </w:rPr>
        <w:t>njt</w:t>
      </w:r>
      <w:r>
        <w:rPr>
          <w:i/>
          <w:iCs/>
        </w:rPr>
        <w:t xml:space="preserve"> × TD</w:t>
      </w:r>
      <w:r>
        <w:rPr>
          <w:i/>
          <w:iCs/>
          <w:vertAlign w:val="subscript"/>
        </w:rPr>
        <w:t>njt</w:t>
      </w:r>
      <w:r>
        <w:t>(</w:t>
      </w:r>
      <w:r w:rsidR="00E63401">
        <w:t>22</w:t>
      </w:r>
      <w:r>
        <w:t>)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TD</w:t>
      </w:r>
      <w:r>
        <w:rPr>
          <w:i/>
          <w:iCs/>
          <w:vertAlign w:val="subscript"/>
        </w:rPr>
        <w:t>nt</w:t>
      </w:r>
      <w:r>
        <w:rPr>
          <w:i/>
          <w:iCs/>
        </w:rPr>
        <w:t>; TD</w:t>
      </w:r>
      <w:r>
        <w:rPr>
          <w:i/>
          <w:iCs/>
          <w:vertAlign w:val="subscript"/>
        </w:rPr>
        <w:t>nmt</w:t>
      </w:r>
      <w:r>
        <w:rPr>
          <w:i/>
          <w:iCs/>
        </w:rPr>
        <w:t>; TD</w:t>
      </w:r>
      <w:r>
        <w:rPr>
          <w:i/>
          <w:iCs/>
          <w:vertAlign w:val="subscript"/>
        </w:rPr>
        <w:t>njt</w:t>
      </w:r>
      <w:r>
        <w:t>– tariful pentru prestarea de către operatorul sistemului de distribu</w:t>
      </w:r>
      <w:r w:rsidR="00972962">
        <w:t>ț</w:t>
      </w:r>
      <w:r>
        <w:t>ie a serviciului de distribu</w:t>
      </w:r>
      <w:r w:rsidR="00972962">
        <w:t>ț</w:t>
      </w:r>
      <w:r>
        <w:t>ie a energiei electrice în anul “n” prin re</w:t>
      </w:r>
      <w:r w:rsidR="00972962">
        <w:t>ț</w:t>
      </w:r>
      <w:r>
        <w:t>elele electrice de distribu</w:t>
      </w:r>
      <w:r w:rsidR="00972962">
        <w:t>ț</w:t>
      </w:r>
      <w:r>
        <w:t xml:space="preserve">ie de tensiune înaltă, medie </w:t>
      </w:r>
      <w:r w:rsidR="00972962">
        <w:t>ș</w:t>
      </w:r>
      <w:r>
        <w:t xml:space="preserve">i joasă, aprobat de </w:t>
      </w:r>
      <w:r w:rsidR="00603FC3">
        <w:t>Agenție</w:t>
      </w:r>
      <w:r w:rsidR="00FC5D15">
        <w:t>, lei/kWh</w:t>
      </w:r>
      <w:r>
        <w:t>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13.</w:t>
      </w:r>
      <w:r>
        <w:t xml:space="preserve"> Costurile </w:t>
      </w:r>
      <w:r w:rsidR="00972962">
        <w:t>ș</w:t>
      </w:r>
      <w:r>
        <w:t>i cheltuielile totale ale Furnizorului necesare pentru desfă</w:t>
      </w:r>
      <w:r w:rsidR="00972962">
        <w:t>ș</w:t>
      </w:r>
      <w:r>
        <w:t>urarea activită</w:t>
      </w:r>
      <w:r w:rsidR="00972962">
        <w:t>ț</w:t>
      </w:r>
      <w:r>
        <w:t>ii de furnizare a energiei electrice în anul de reglementare “n” (CSF</w:t>
      </w:r>
      <w:r>
        <w:rPr>
          <w:vertAlign w:val="subscript"/>
        </w:rPr>
        <w:t>n</w:t>
      </w:r>
      <w:r>
        <w:t>) cuprind:</w:t>
      </w:r>
    </w:p>
    <w:p w:rsidR="0051256C" w:rsidRDefault="00D62838" w:rsidP="00E63401">
      <w:pPr>
        <w:pStyle w:val="NormalWeb"/>
        <w:ind w:firstLine="709"/>
      </w:pPr>
      <w:r>
        <w:lastRenderedPageBreak/>
        <w:t xml:space="preserve">1) cheltuieli legate de încheierea si de derularea contractelor de procurare, a contractelor de furnizare a energiei electrice tuturor consumatorilor, a contractelor </w:t>
      </w:r>
      <w:r w:rsidR="0018054C" w:rsidRPr="0018054C">
        <w:t xml:space="preserve">pentru prestarea serviciilor </w:t>
      </w:r>
      <w:r>
        <w:t xml:space="preserve">de transport </w:t>
      </w:r>
      <w:r w:rsidR="00972962">
        <w:t>ș</w:t>
      </w:r>
      <w:r>
        <w:t>i de distribu</w:t>
      </w:r>
      <w:r w:rsidR="00972962">
        <w:t>ț</w:t>
      </w:r>
      <w:r>
        <w:t>ie a energiei electrice, a altor contracte aferente activită</w:t>
      </w:r>
      <w:r w:rsidR="00972962">
        <w:t>ț</w:t>
      </w:r>
      <w:r>
        <w:t>ii de furnizare a energiei electrice;</w:t>
      </w:r>
    </w:p>
    <w:p w:rsidR="0051256C" w:rsidRDefault="00D62838" w:rsidP="00E63401">
      <w:pPr>
        <w:pStyle w:val="NormalWeb"/>
        <w:ind w:firstLine="709"/>
      </w:pPr>
      <w:r>
        <w:t xml:space="preserve">2) cheltuieli legate de facturarea </w:t>
      </w:r>
      <w:r w:rsidR="00972962">
        <w:t>ș</w:t>
      </w:r>
      <w:r>
        <w:t>i de colectarea plă</w:t>
      </w:r>
      <w:r w:rsidR="00972962">
        <w:t>ț</w:t>
      </w:r>
      <w:r>
        <w:t xml:space="preserve">ilor pentru energia electrică furnizată consumatorilor, de facturarea </w:t>
      </w:r>
      <w:r w:rsidR="00972962">
        <w:t>ș</w:t>
      </w:r>
      <w:r>
        <w:t>i de achitarea plă</w:t>
      </w:r>
      <w:r w:rsidR="00972962">
        <w:t>ț</w:t>
      </w:r>
      <w:r>
        <w:t>ilor pentru energia electrică procurată, a plă</w:t>
      </w:r>
      <w:r w:rsidR="00972962">
        <w:t>ț</w:t>
      </w:r>
      <w:r>
        <w:t xml:space="preserve">ilor pentru prestarea serviciului de transport </w:t>
      </w:r>
      <w:r w:rsidR="00972962">
        <w:t>ș</w:t>
      </w:r>
      <w:r>
        <w:t>i a serviciului de distribu</w:t>
      </w:r>
      <w:r w:rsidR="00972962">
        <w:t>ț</w:t>
      </w:r>
      <w:r>
        <w:t>ie a energiei electrice;</w:t>
      </w:r>
    </w:p>
    <w:p w:rsidR="0051256C" w:rsidRDefault="00D62838" w:rsidP="00E63401">
      <w:pPr>
        <w:pStyle w:val="NormalWeb"/>
        <w:ind w:firstLine="709"/>
      </w:pPr>
      <w:r>
        <w:t xml:space="preserve">3) cheltuieli aferente asigurării bazei de date privind gestiunea consumatorilor, aferente organizării </w:t>
      </w:r>
      <w:r w:rsidR="00972962">
        <w:t>ș</w:t>
      </w:r>
      <w:r>
        <w:t>i desfă</w:t>
      </w:r>
      <w:r w:rsidR="00972962">
        <w:t>ș</w:t>
      </w:r>
      <w:r>
        <w:t xml:space="preserve">urării lucrului cu consumatorii (centre comerciale, servicii de informare а consumatorilor, a operatorului </w:t>
      </w:r>
      <w:r w:rsidR="007A55C3">
        <w:t>sistemului</w:t>
      </w:r>
      <w:r>
        <w:t xml:space="preserve"> de transport, a operatorilor </w:t>
      </w:r>
      <w:r w:rsidR="007A55C3">
        <w:t>sistemelor</w:t>
      </w:r>
      <w:r>
        <w:t xml:space="preserve"> de distribu</w:t>
      </w:r>
      <w:r w:rsidR="00972962">
        <w:t>ț</w:t>
      </w:r>
      <w:r>
        <w:t xml:space="preserve">ie </w:t>
      </w:r>
      <w:r w:rsidR="00972962">
        <w:t>ș</w:t>
      </w:r>
      <w:r>
        <w:t>i a altor institu</w:t>
      </w:r>
      <w:r w:rsidR="00972962">
        <w:t>ț</w:t>
      </w:r>
      <w:r>
        <w:t>ii abilitate);</w:t>
      </w:r>
    </w:p>
    <w:p w:rsidR="0051256C" w:rsidRDefault="00D62838" w:rsidP="00E63401">
      <w:pPr>
        <w:pStyle w:val="NormalWeb"/>
        <w:ind w:firstLine="709"/>
      </w:pPr>
      <w:r>
        <w:t xml:space="preserve">4) amortizarea mijloacelor fixe </w:t>
      </w:r>
      <w:r w:rsidR="00972962">
        <w:t>ș</w:t>
      </w:r>
      <w:r>
        <w:t>i a imobilizărilor necorporale</w:t>
      </w:r>
      <w:r w:rsidR="00217B22">
        <w:t>aferente activității de furnizare a energiei electrice</w:t>
      </w:r>
      <w:r>
        <w:t>, cheltuielile de între</w:t>
      </w:r>
      <w:r w:rsidR="00972962">
        <w:t>ț</w:t>
      </w:r>
      <w:r>
        <w:t xml:space="preserve">inere </w:t>
      </w:r>
      <w:r w:rsidR="00972962">
        <w:t>ș</w:t>
      </w:r>
      <w:r>
        <w:t xml:space="preserve">i de exploatare a </w:t>
      </w:r>
      <w:r w:rsidR="00217B22">
        <w:t>acestora</w:t>
      </w:r>
      <w:r>
        <w:t>;</w:t>
      </w:r>
    </w:p>
    <w:p w:rsidR="0051256C" w:rsidRDefault="00D62838" w:rsidP="00E63401">
      <w:pPr>
        <w:pStyle w:val="NormalWeb"/>
        <w:ind w:firstLine="709"/>
      </w:pPr>
      <w:r>
        <w:t>5) alte cheltuieli de distribuire legate nemijlocit de activitatea de furnizare a energiei electrice;</w:t>
      </w:r>
    </w:p>
    <w:p w:rsidR="0051256C" w:rsidRDefault="00D62838" w:rsidP="00E63401">
      <w:pPr>
        <w:pStyle w:val="NormalWeb"/>
        <w:ind w:firstLine="709"/>
      </w:pPr>
      <w:r>
        <w:t>6) cheltuieli administrative ale Furnizorului aferente activită</w:t>
      </w:r>
      <w:r w:rsidR="00972962">
        <w:t>ț</w:t>
      </w:r>
      <w:r>
        <w:t>ii de furnizare a energiei electrice.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14.</w:t>
      </w:r>
      <w:r w:rsidR="00705F32">
        <w:t>T</w:t>
      </w:r>
      <w:r>
        <w:t xml:space="preserve">oate costurile </w:t>
      </w:r>
      <w:r w:rsidR="00972962">
        <w:t>ș</w:t>
      </w:r>
      <w:r>
        <w:t xml:space="preserve">i cheltuielile legate nemijlocit de activitatea de furnizare </w:t>
      </w:r>
      <w:r w:rsidR="001B1E48">
        <w:t xml:space="preserve">la care se face referire </w:t>
      </w:r>
      <w:r>
        <w:t>în punctul 13 din Metodologie sunt compuse din costuri cu personalul (CRF), din costuri materiale (CMF), din costul serviciilor prestate de ter</w:t>
      </w:r>
      <w:r w:rsidR="00972962">
        <w:t>ț</w:t>
      </w:r>
      <w:r>
        <w:t xml:space="preserve">i (CSP), din amortizarea mijloacelor fixe </w:t>
      </w:r>
      <w:r w:rsidR="00972962">
        <w:t>ș</w:t>
      </w:r>
      <w:r>
        <w:t xml:space="preserve">i imobilizărilor necorporale (UA) </w:t>
      </w:r>
      <w:r w:rsidR="00972962">
        <w:t>ș</w:t>
      </w:r>
      <w:r>
        <w:t xml:space="preserve">i din alte cheltuieli de furnizare a energiei electrice (ACF). Astfel, costurile </w:t>
      </w:r>
      <w:r w:rsidR="00972962">
        <w:t>ș</w:t>
      </w:r>
      <w:r>
        <w:t>i cheltuielile totale aferente activită</w:t>
      </w:r>
      <w:r w:rsidR="00972962">
        <w:t>ț</w:t>
      </w:r>
      <w:r>
        <w:t>ii de furnizare a energiei electrice în anul “n” pot fi determinate prin formula: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CSF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CRF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+ CMF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+ CSP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+ UA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+ ACF</w:t>
      </w:r>
      <w:r>
        <w:rPr>
          <w:i/>
          <w:iCs/>
          <w:vertAlign w:val="subscript"/>
        </w:rPr>
        <w:t>n</w:t>
      </w:r>
      <w:r>
        <w:t xml:space="preserve"> (2</w:t>
      </w:r>
      <w:r w:rsidR="00E63401">
        <w:t>3</w:t>
      </w:r>
      <w:r>
        <w:t xml:space="preserve">)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 w:rsidRPr="00972962">
        <w:rPr>
          <w:b/>
          <w:bCs/>
        </w:rPr>
        <w:t>15.</w:t>
      </w:r>
      <w:r w:rsidRPr="00972962">
        <w:t xml:space="preserve"> În costurile Furnizorului cu personalul </w:t>
      </w:r>
      <w:r w:rsidR="001B1E48">
        <w:t xml:space="preserve">(CRF) </w:t>
      </w:r>
      <w:r w:rsidRPr="00972962">
        <w:t>se includ atât sum</w:t>
      </w:r>
      <w:r w:rsidR="001B1E48">
        <w:t>a</w:t>
      </w:r>
      <w:r w:rsidRPr="00972962">
        <w:t xml:space="preserve"> retribu</w:t>
      </w:r>
      <w:r w:rsidR="00972962">
        <w:t>ț</w:t>
      </w:r>
      <w:r w:rsidRPr="00972962">
        <w:t xml:space="preserve">iilor pentru munca efectiv prestată, precum </w:t>
      </w:r>
      <w:r w:rsidR="00972962">
        <w:t>ș</w:t>
      </w:r>
      <w:r w:rsidRPr="00972962">
        <w:t>i sumele contribu</w:t>
      </w:r>
      <w:r w:rsidR="00972962">
        <w:t>ț</w:t>
      </w:r>
      <w:r w:rsidRPr="00972962">
        <w:t xml:space="preserve">iilor de asigurări sociale de stat obligatorii </w:t>
      </w:r>
      <w:r w:rsidR="00972962">
        <w:t>ș</w:t>
      </w:r>
      <w:r w:rsidRPr="00972962">
        <w:t xml:space="preserve">i </w:t>
      </w:r>
      <w:r w:rsidR="001B1E48">
        <w:t xml:space="preserve">a </w:t>
      </w:r>
      <w:r w:rsidRPr="00972962">
        <w:t>primelor de asigurare obligatorie de asisten</w:t>
      </w:r>
      <w:r w:rsidR="00972962">
        <w:t>ț</w:t>
      </w:r>
      <w:r w:rsidRPr="00972962">
        <w:t xml:space="preserve">ă </w:t>
      </w:r>
      <w:r w:rsidRPr="002E3A0B">
        <w:t>medicală</w:t>
      </w:r>
      <w:r w:rsidR="00972962" w:rsidRPr="002E3A0B">
        <w:t xml:space="preserve">. </w:t>
      </w:r>
      <w:r w:rsidR="001B1E48">
        <w:t xml:space="preserve">Aceste </w:t>
      </w:r>
      <w:r w:rsidR="00B74F95">
        <w:t>costuri</w:t>
      </w:r>
      <w:r w:rsidRPr="00B74F95">
        <w:t xml:space="preserve"> se determină</w:t>
      </w:r>
      <w:r w:rsidRPr="002E3A0B">
        <w:t xml:space="preserve"> de către Furnizor pentru primul an de </w:t>
      </w:r>
      <w:r w:rsidR="00BC0C53" w:rsidRPr="002E3A0B">
        <w:t xml:space="preserve">aplicare </w:t>
      </w:r>
      <w:r w:rsidRPr="002E3A0B">
        <w:t>a Metodologiei, anul de bază</w:t>
      </w:r>
      <w:r w:rsidRPr="00972962">
        <w:t>(CRF</w:t>
      </w:r>
      <w:r w:rsidRPr="00972962">
        <w:rPr>
          <w:vertAlign w:val="subscript"/>
        </w:rPr>
        <w:t>o</w:t>
      </w:r>
      <w:r w:rsidRPr="00972962">
        <w:t>), reie</w:t>
      </w:r>
      <w:r w:rsidR="00972962">
        <w:t>ș</w:t>
      </w:r>
      <w:r w:rsidRPr="00972962">
        <w:t>ind din: numărul de angaja</w:t>
      </w:r>
      <w:r w:rsidR="00972962">
        <w:t>ț</w:t>
      </w:r>
      <w:r w:rsidRPr="00972962">
        <w:t xml:space="preserve">i </w:t>
      </w:r>
      <w:r w:rsidR="000958D0" w:rsidRPr="00972962">
        <w:t xml:space="preserve">necesar </w:t>
      </w:r>
      <w:r w:rsidRPr="00972962">
        <w:t>pentru desfă</w:t>
      </w:r>
      <w:r w:rsidR="00972962">
        <w:t>ș</w:t>
      </w:r>
      <w:r w:rsidRPr="00972962">
        <w:t>urarea normală a activită</w:t>
      </w:r>
      <w:r w:rsidR="00972962">
        <w:t>ț</w:t>
      </w:r>
      <w:r w:rsidRPr="00972962">
        <w:t>ii de furnizare a energiei electrice; categoria de calificare a acestora; cuantumul minim garantat al salariului în sectorul real; coeficientul complexită</w:t>
      </w:r>
      <w:r w:rsidR="00972962">
        <w:t>ț</w:t>
      </w:r>
      <w:r w:rsidRPr="00972962">
        <w:t xml:space="preserve">ii din ramură; regimul </w:t>
      </w:r>
      <w:r w:rsidR="00972962">
        <w:t>ș</w:t>
      </w:r>
      <w:r w:rsidRPr="00972962">
        <w:t>i condi</w:t>
      </w:r>
      <w:r w:rsidR="00972962">
        <w:t>ț</w:t>
      </w:r>
      <w:r w:rsidRPr="00972962">
        <w:t>iile de lucru; contribu</w:t>
      </w:r>
      <w:r w:rsidR="00972962">
        <w:t>ț</w:t>
      </w:r>
      <w:r w:rsidRPr="00972962">
        <w:t xml:space="preserve">iile de asigurări sociale de stat obligatorii </w:t>
      </w:r>
      <w:r w:rsidR="00972962">
        <w:t>ș</w:t>
      </w:r>
      <w:r w:rsidRPr="00972962">
        <w:t>i prima de asigurare obligatorie de asisten</w:t>
      </w:r>
      <w:r w:rsidR="00972962">
        <w:t>ț</w:t>
      </w:r>
      <w:r w:rsidRPr="00972962">
        <w:t>ă medicală, alte plă</w:t>
      </w:r>
      <w:r w:rsidR="00972962">
        <w:t>ț</w:t>
      </w:r>
      <w:r w:rsidRPr="00972962">
        <w:t xml:space="preserve">i </w:t>
      </w:r>
      <w:r w:rsidR="00972962">
        <w:t>ș</w:t>
      </w:r>
      <w:r w:rsidRPr="00972962">
        <w:t>i sporuri stabilite de legisla</w:t>
      </w:r>
      <w:r w:rsidR="00972962">
        <w:t>ț</w:t>
      </w:r>
      <w:r w:rsidRPr="00972962">
        <w:t xml:space="preserve">ie. Aceste </w:t>
      </w:r>
      <w:r w:rsidR="0092663B" w:rsidRPr="00972962">
        <w:t>costuri</w:t>
      </w:r>
      <w:r w:rsidRPr="00972962">
        <w:t xml:space="preserve"> se determină de Furnizor pentru primul an de </w:t>
      </w:r>
      <w:r w:rsidR="00BC0C53">
        <w:t>aplicare</w:t>
      </w:r>
      <w:r w:rsidRPr="00972962">
        <w:t xml:space="preserve">a Metodologiei, se examinează </w:t>
      </w:r>
      <w:r w:rsidR="00972962">
        <w:t>ș</w:t>
      </w:r>
      <w:r w:rsidRPr="00972962">
        <w:t>i se aprobă</w:t>
      </w:r>
      <w:r>
        <w:t xml:space="preserve"> de către </w:t>
      </w:r>
      <w:r w:rsidR="00603FC3">
        <w:t>Agenție</w:t>
      </w:r>
      <w:r>
        <w:t xml:space="preserve"> ca fiind </w:t>
      </w:r>
      <w:r w:rsidR="0092663B">
        <w:t>costuri</w:t>
      </w:r>
      <w:r>
        <w:t xml:space="preserve"> de bază pentru toată perioada de </w:t>
      </w:r>
      <w:r w:rsidR="00BC0C53">
        <w:t xml:space="preserve">aplicare </w:t>
      </w:r>
      <w:r>
        <w:t xml:space="preserve">a Metodologiei. Pentru fiecare an ulterior “n”, aceste </w:t>
      </w:r>
      <w:r w:rsidR="0092663B">
        <w:t>costuri</w:t>
      </w:r>
      <w:r>
        <w:t xml:space="preserve"> se actualizează reie</w:t>
      </w:r>
      <w:r w:rsidR="00972962">
        <w:t>ș</w:t>
      </w:r>
      <w:r>
        <w:t>ind din indicele pre</w:t>
      </w:r>
      <w:r w:rsidR="00972962">
        <w:t>ț</w:t>
      </w:r>
      <w:r>
        <w:t>u</w:t>
      </w:r>
      <w:r w:rsidR="0092663B">
        <w:t>rilor</w:t>
      </w:r>
      <w:r>
        <w:t xml:space="preserve"> de consum din Republica Moldova </w:t>
      </w:r>
      <w:r w:rsidR="00972962">
        <w:t>ș</w:t>
      </w:r>
      <w:r>
        <w:t xml:space="preserve">i </w:t>
      </w:r>
      <w:r w:rsidR="000958D0">
        <w:t xml:space="preserve">din </w:t>
      </w:r>
      <w:r>
        <w:t>indicel</w:t>
      </w:r>
      <w:r w:rsidR="000958D0">
        <w:t>e</w:t>
      </w:r>
      <w:r>
        <w:t xml:space="preserve"> de modificare a numărului locurilor de consum ale consumatori finali deservi</w:t>
      </w:r>
      <w:r w:rsidR="00972962">
        <w:t>ț</w:t>
      </w:r>
      <w:r>
        <w:t xml:space="preserve">i de Furnizor, conform formulei: 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CRF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CRF</w:t>
      </w:r>
      <w:r>
        <w:rPr>
          <w:i/>
          <w:iCs/>
          <w:vertAlign w:val="subscript"/>
        </w:rPr>
        <w:t xml:space="preserve">0 </w:t>
      </w:r>
      <w:r>
        <w:rPr>
          <w:i/>
          <w:iCs/>
        </w:rPr>
        <w:t>× ∏[(1 + IPCM</w:t>
      </w:r>
      <w:r>
        <w:rPr>
          <w:i/>
          <w:iCs/>
          <w:vertAlign w:val="subscript"/>
        </w:rPr>
        <w:t>n</w:t>
      </w:r>
      <w:r>
        <w:rPr>
          <w:i/>
          <w:iCs/>
        </w:rPr>
        <w:t>) × (1 + ΔNC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)] </w:t>
      </w:r>
      <w:r>
        <w:t>(2</w:t>
      </w:r>
      <w:r w:rsidR="00E63401">
        <w:t>4</w:t>
      </w:r>
      <w:r>
        <w:t>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IPCM</w:t>
      </w:r>
      <w:r>
        <w:rPr>
          <w:i/>
          <w:iCs/>
          <w:vertAlign w:val="subscript"/>
        </w:rPr>
        <w:t>n</w:t>
      </w:r>
      <w:r>
        <w:rPr>
          <w:i/>
          <w:iCs/>
        </w:rPr>
        <w:t>–</w:t>
      </w:r>
      <w:r>
        <w:t>indicelepre</w:t>
      </w:r>
      <w:r w:rsidR="00972962">
        <w:t>ț</w:t>
      </w:r>
      <w:r>
        <w:t>u</w:t>
      </w:r>
      <w:r w:rsidR="0067190A">
        <w:t>rilor</w:t>
      </w:r>
      <w:r>
        <w:t xml:space="preserve"> de consum în RM în anul “n”;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∆NC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– </w:t>
      </w:r>
      <w:r>
        <w:t>indicelemodificării numărului locurilor de consum ale consumatorilor finali deservi</w:t>
      </w:r>
      <w:r w:rsidR="00972962">
        <w:t>ț</w:t>
      </w:r>
      <w:r>
        <w:t>i de Furnizor în anul “n”, care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D62838" w:rsidP="00E63401">
      <w:pPr>
        <w:pStyle w:val="cn"/>
        <w:ind w:firstLine="709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(25)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lastRenderedPageBreak/>
        <w:t>NC</w:t>
      </w:r>
      <w:r>
        <w:rPr>
          <w:i/>
          <w:iCs/>
          <w:vertAlign w:val="subscript"/>
        </w:rPr>
        <w:t>n</w:t>
      </w:r>
      <w:r>
        <w:t>– numărullocurilor de consum ale consumatorilor finali deservi</w:t>
      </w:r>
      <w:r w:rsidR="00972962">
        <w:t>ț</w:t>
      </w:r>
      <w:r>
        <w:t xml:space="preserve">i de către Furnizor în anul de reglementare ,,n”; 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NC</w:t>
      </w:r>
      <w:r>
        <w:rPr>
          <w:i/>
          <w:iCs/>
          <w:vertAlign w:val="subscript"/>
        </w:rPr>
        <w:t xml:space="preserve">n-1 </w:t>
      </w:r>
      <w:r>
        <w:t>– numărul locurilor de consum al consumatorilor finali deservi</w:t>
      </w:r>
      <w:r w:rsidR="00972962">
        <w:t>ț</w:t>
      </w:r>
      <w:r>
        <w:t xml:space="preserve">i de Furnizor în anul ,,n-1”. </w:t>
      </w:r>
    </w:p>
    <w:p w:rsidR="0051256C" w:rsidRPr="00972962" w:rsidRDefault="00D62838" w:rsidP="00E63401">
      <w:pPr>
        <w:pStyle w:val="NormalWeb"/>
        <w:ind w:firstLine="709"/>
      </w:pPr>
      <w:r w:rsidRPr="00972962">
        <w:t>În cazul în care, la nivel na</w:t>
      </w:r>
      <w:r w:rsidR="00972962" w:rsidRPr="00972962">
        <w:t>ț</w:t>
      </w:r>
      <w:r w:rsidRPr="00972962">
        <w:t xml:space="preserve">ional, se va modifica cuantumul minim garantat al salariului în sectorul real, </w:t>
      </w:r>
      <w:r w:rsidR="0092663B" w:rsidRPr="00972962">
        <w:t>costuri</w:t>
      </w:r>
      <w:r w:rsidRPr="00972962">
        <w:t xml:space="preserve">le aferente remunerării muncii, din anul respectiv, </w:t>
      </w:r>
      <w:r w:rsidR="00C226F8" w:rsidRPr="00972962">
        <w:t>vor fi actualizate reie</w:t>
      </w:r>
      <w:r w:rsidR="00972962" w:rsidRPr="00972962">
        <w:t>ș</w:t>
      </w:r>
      <w:r w:rsidR="00C226F8" w:rsidRPr="00972962">
        <w:t>ind din coeficientul cre</w:t>
      </w:r>
      <w:r w:rsidR="00972962" w:rsidRPr="00972962">
        <w:t>ș</w:t>
      </w:r>
      <w:r w:rsidR="00C226F8" w:rsidRPr="00972962">
        <w:t>terii medii anuale a cuantumului minim garantat al salariului în sectorul real</w:t>
      </w:r>
      <w:r w:rsidRPr="00972962">
        <w:t>.</w:t>
      </w:r>
    </w:p>
    <w:p w:rsidR="0051256C" w:rsidRPr="00972962" w:rsidRDefault="00D62838" w:rsidP="00E63401">
      <w:pPr>
        <w:pStyle w:val="NormalWeb"/>
        <w:ind w:firstLine="709"/>
      </w:pPr>
      <w:r w:rsidRPr="00972962"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16.</w:t>
      </w:r>
      <w:r>
        <w:t xml:space="preserve"> Costurile materiale totale ale Furnizorului necesare pentru desfă</w:t>
      </w:r>
      <w:r w:rsidR="00972962">
        <w:t>ș</w:t>
      </w:r>
      <w:r>
        <w:t>urarea activită</w:t>
      </w:r>
      <w:r w:rsidR="00972962">
        <w:t>ț</w:t>
      </w:r>
      <w:r>
        <w:t xml:space="preserve">ii de furnizare a energiei electrice </w:t>
      </w:r>
      <w:r w:rsidR="000958D0">
        <w:t xml:space="preserve">(CMF) </w:t>
      </w:r>
      <w:r>
        <w:t xml:space="preserve">se determină de Furnizor pentru primul an de </w:t>
      </w:r>
      <w:r w:rsidR="00BC0C53">
        <w:t xml:space="preserve">aplicare </w:t>
      </w:r>
      <w:r>
        <w:t>a Metodologiei (CMF</w:t>
      </w:r>
      <w:r>
        <w:rPr>
          <w:vertAlign w:val="subscript"/>
        </w:rPr>
        <w:t>o</w:t>
      </w:r>
      <w:r>
        <w:t>) reie</w:t>
      </w:r>
      <w:r w:rsidR="00972962">
        <w:t>ș</w:t>
      </w:r>
      <w:r>
        <w:t>ind din cantitatea fiecărui tip de material necesar</w:t>
      </w:r>
      <w:r w:rsidR="000958D0">
        <w:t xml:space="preserve">conform </w:t>
      </w:r>
      <w:r>
        <w:t xml:space="preserve">normelor de utilizare </w:t>
      </w:r>
      <w:r w:rsidR="00972962">
        <w:t>ș</w:t>
      </w:r>
      <w:r>
        <w:t>i a analizei materialelor, utilizate de Furnizor în perioada precedentă de reglementare pentru deservirea consumatorilor, pentru între</w:t>
      </w:r>
      <w:r w:rsidR="00972962">
        <w:t>ț</w:t>
      </w:r>
      <w:r>
        <w:t xml:space="preserve">inerea </w:t>
      </w:r>
      <w:r w:rsidR="00972962">
        <w:t>ș</w:t>
      </w:r>
      <w:r>
        <w:t xml:space="preserve">i pentru exploatarea </w:t>
      </w:r>
      <w:r w:rsidRPr="00217B22">
        <w:t xml:space="preserve">mijloacelor fixe </w:t>
      </w:r>
      <w:r w:rsidR="00972962">
        <w:t>ș</w:t>
      </w:r>
      <w:r>
        <w:t xml:space="preserve">i a imobilizărilor necorporale </w:t>
      </w:r>
      <w:r w:rsidR="00972962">
        <w:t>ș</w:t>
      </w:r>
      <w:r>
        <w:t>i reie</w:t>
      </w:r>
      <w:r w:rsidR="00972962">
        <w:t>ș</w:t>
      </w:r>
      <w:r>
        <w:t>ind din pre</w:t>
      </w:r>
      <w:r w:rsidR="00972962">
        <w:t>ț</w:t>
      </w:r>
      <w:r>
        <w:t>urile minime de pe pia</w:t>
      </w:r>
      <w:r w:rsidR="00972962">
        <w:t>ț</w:t>
      </w:r>
      <w:r>
        <w:t>ă, ca rezultat al achizi</w:t>
      </w:r>
      <w:r w:rsidR="00972962">
        <w:t>ț</w:t>
      </w:r>
      <w:r>
        <w:t xml:space="preserve">iilor efectuate în conformitate cu regulamentul aprobat de </w:t>
      </w:r>
      <w:r w:rsidR="00603FC3">
        <w:t>Agenție</w:t>
      </w:r>
      <w:r>
        <w:t xml:space="preserve">. Analogic costurilor cu personalul, aceste costuri se examinează </w:t>
      </w:r>
      <w:r w:rsidR="00972962">
        <w:t>ș</w:t>
      </w:r>
      <w:r>
        <w:t xml:space="preserve">i se aprobă de către </w:t>
      </w:r>
      <w:r w:rsidR="00603FC3">
        <w:t>Agenție</w:t>
      </w:r>
      <w:r>
        <w:t xml:space="preserve"> pentru primul an, ca fiind costuri de bază pentru toată perioada de </w:t>
      </w:r>
      <w:r w:rsidR="00BC0C53">
        <w:t xml:space="preserve">aplicare </w:t>
      </w:r>
      <w:r>
        <w:t>a Metodologiei. Pentru fiecare an “n” ulterior, aceste costuri se actualizează în conformitate cu următoarea formulă: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CMF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CMF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×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[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HICP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]×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LeiD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LeiD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 xml:space="preserve">    (26)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HICP</w:t>
      </w:r>
      <w:r>
        <w:rPr>
          <w:i/>
          <w:iCs/>
          <w:vertAlign w:val="subscript"/>
        </w:rPr>
        <w:t>n</w:t>
      </w:r>
      <w:r>
        <w:t>– indicelepre</w:t>
      </w:r>
      <w:r w:rsidR="00972962">
        <w:t>ț</w:t>
      </w:r>
      <w:r w:rsidR="00992416">
        <w:t xml:space="preserve">urilor de consum </w:t>
      </w:r>
      <w:r>
        <w:t>al SUA în anul “n”, publicat de către Departamentul Muncii al SUA;</w:t>
      </w:r>
    </w:p>
    <w:p w:rsidR="0051256C" w:rsidRDefault="00D62838" w:rsidP="00E63401">
      <w:pPr>
        <w:pStyle w:val="NormalWeb"/>
        <w:ind w:firstLine="709"/>
      </w:pPr>
      <w:r>
        <w:t>LeiD</w:t>
      </w:r>
      <w:r>
        <w:rPr>
          <w:vertAlign w:val="subscript"/>
        </w:rPr>
        <w:t>n</w:t>
      </w:r>
      <w:r>
        <w:t>– cursuloficial mediu de schimb al leului moldovenesc fa</w:t>
      </w:r>
      <w:r w:rsidR="00972962">
        <w:t>ț</w:t>
      </w:r>
      <w:r>
        <w:t>ă de dolarul SUA în anul “n”, anul pentru care se actualizează costurile;</w:t>
      </w:r>
    </w:p>
    <w:p w:rsidR="0051256C" w:rsidRDefault="00D62838" w:rsidP="00E63401">
      <w:pPr>
        <w:pStyle w:val="NormalWeb"/>
        <w:ind w:firstLine="709"/>
      </w:pPr>
      <w:r>
        <w:t>LeiD</w:t>
      </w:r>
      <w:r>
        <w:rPr>
          <w:vertAlign w:val="subscript"/>
        </w:rPr>
        <w:t xml:space="preserve"> n-1 </w:t>
      </w:r>
      <w:r>
        <w:t>– cursul oficial mediu de schimb al leului moldovenesc fa</w:t>
      </w:r>
      <w:r w:rsidR="00972962">
        <w:t>ț</w:t>
      </w:r>
      <w:r>
        <w:t>ă de dolarul SUA în anul precedent (n-1).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17.</w:t>
      </w:r>
      <w:r w:rsidR="00C226F8" w:rsidRPr="003F06AA">
        <w:rPr>
          <w:lang w:val="ro-RO"/>
        </w:rPr>
        <w:t>Costu</w:t>
      </w:r>
      <w:r w:rsidR="000958D0" w:rsidRPr="003F06AA">
        <w:rPr>
          <w:lang w:val="ro-RO"/>
        </w:rPr>
        <w:t>l</w:t>
      </w:r>
      <w:r w:rsidR="00C226F8" w:rsidRPr="003F06AA">
        <w:rPr>
          <w:lang w:val="ro-RO"/>
        </w:rPr>
        <w:t xml:space="preserve"> total</w:t>
      </w:r>
      <w:r w:rsidR="000958D0" w:rsidRPr="003F06AA">
        <w:rPr>
          <w:iCs/>
          <w:lang w:val="ro-RO"/>
        </w:rPr>
        <w:t xml:space="preserve">al </w:t>
      </w:r>
      <w:r w:rsidR="00C226F8" w:rsidRPr="003F06AA">
        <w:t>serviciil</w:t>
      </w:r>
      <w:r w:rsidR="000958D0" w:rsidRPr="003F06AA">
        <w:t>or</w:t>
      </w:r>
      <w:r w:rsidR="00C226F8" w:rsidRPr="003F06AA">
        <w:t>prestate de ter</w:t>
      </w:r>
      <w:r w:rsidR="00972962" w:rsidRPr="003F06AA">
        <w:t>ț</w:t>
      </w:r>
      <w:r w:rsidR="00C226F8" w:rsidRPr="003F06AA">
        <w:t>i includ</w:t>
      </w:r>
      <w:r w:rsidR="000958D0" w:rsidRPr="003F06AA">
        <w:t xml:space="preserve">ecostul </w:t>
      </w:r>
      <w:r w:rsidR="00C226F8" w:rsidRPr="003F06AA">
        <w:t>serviciil</w:t>
      </w:r>
      <w:r w:rsidR="000958D0" w:rsidRPr="003F06AA">
        <w:t xml:space="preserve">orde </w:t>
      </w:r>
      <w:r w:rsidR="00C226F8" w:rsidRPr="003F06AA">
        <w:t xml:space="preserve">expedierea facturilor de plată, </w:t>
      </w:r>
      <w:r w:rsidR="000958D0" w:rsidRPr="003F06AA">
        <w:t xml:space="preserve">de încasare a </w:t>
      </w:r>
      <w:r w:rsidR="00C226F8" w:rsidRPr="003F06AA">
        <w:t>plă</w:t>
      </w:r>
      <w:r w:rsidR="00972962" w:rsidRPr="003F06AA">
        <w:t>ț</w:t>
      </w:r>
      <w:r w:rsidR="00C226F8" w:rsidRPr="003F06AA">
        <w:t xml:space="preserve">ilor </w:t>
      </w:r>
      <w:r w:rsidRPr="003F06AA">
        <w:t>pentru</w:t>
      </w:r>
      <w:r>
        <w:t xml:space="preserve"> energia electrică de la consumatori, </w:t>
      </w:r>
      <w:r w:rsidR="000958D0">
        <w:t xml:space="preserve">al </w:t>
      </w:r>
      <w:r>
        <w:t xml:space="preserve">serviciile telefonice </w:t>
      </w:r>
      <w:r w:rsidR="00972962">
        <w:t>ș</w:t>
      </w:r>
      <w:r>
        <w:t>i informa</w:t>
      </w:r>
      <w:r w:rsidR="00972962">
        <w:t>ț</w:t>
      </w:r>
      <w:r>
        <w:t xml:space="preserve">ionale </w:t>
      </w:r>
      <w:r w:rsidR="00972962">
        <w:t>ș</w:t>
      </w:r>
      <w:r>
        <w:t>i al</w:t>
      </w:r>
      <w:r w:rsidR="000958D0">
        <w:t>e altor</w:t>
      </w:r>
      <w:r>
        <w:t xml:space="preserve">servicii </w:t>
      </w:r>
      <w:r w:rsidR="00FB05A4">
        <w:t xml:space="preserve">pentru </w:t>
      </w:r>
      <w:r>
        <w:t>activitatea de furnizare a energiei electrice, prestate Furnizorului conform contractelor încheiate cu ter</w:t>
      </w:r>
      <w:r w:rsidR="00972962">
        <w:t>ț</w:t>
      </w:r>
      <w:r>
        <w:t>e păr</w:t>
      </w:r>
      <w:r w:rsidR="00972962">
        <w:t>ț</w:t>
      </w:r>
      <w:r>
        <w:t xml:space="preserve">i. Aceste costuri se determină pentru primul an de </w:t>
      </w:r>
      <w:r w:rsidR="00BC0C53">
        <w:t xml:space="preserve">aplicare </w:t>
      </w:r>
      <w:r>
        <w:t>al prezenteiMetodologii (CSP</w:t>
      </w:r>
      <w:r>
        <w:rPr>
          <w:vertAlign w:val="subscript"/>
        </w:rPr>
        <w:t>o</w:t>
      </w:r>
      <w:r>
        <w:t>) reie</w:t>
      </w:r>
      <w:r w:rsidR="00972962">
        <w:t>ș</w:t>
      </w:r>
      <w:r>
        <w:t>ind din contractele de antrepriză încheiate cu ter</w:t>
      </w:r>
      <w:r w:rsidR="00972962">
        <w:t>ț</w:t>
      </w:r>
      <w:r>
        <w:t>e păr</w:t>
      </w:r>
      <w:r w:rsidR="00972962">
        <w:t>ț</w:t>
      </w:r>
      <w:r>
        <w:t xml:space="preserve">i în </w:t>
      </w:r>
      <w:r w:rsidR="00FB05A4">
        <w:t xml:space="preserve">procesul </w:t>
      </w:r>
      <w:r>
        <w:t>achizi</w:t>
      </w:r>
      <w:r w:rsidR="00972962">
        <w:t>ț</w:t>
      </w:r>
      <w:r>
        <w:t xml:space="preserve">iei de lucrări </w:t>
      </w:r>
      <w:r w:rsidR="00972962">
        <w:t>ș</w:t>
      </w:r>
      <w:r>
        <w:t xml:space="preserve">i de servicii, efectuate în conformitate cu regulamentul aprobat de </w:t>
      </w:r>
      <w:r w:rsidR="00603FC3">
        <w:t>Agenție</w:t>
      </w:r>
      <w:r>
        <w:t xml:space="preserve">. Aceste </w:t>
      </w:r>
      <w:r w:rsidR="00984A11">
        <w:t>costuri</w:t>
      </w:r>
      <w:r>
        <w:t xml:space="preserve"> se examinează </w:t>
      </w:r>
      <w:r w:rsidR="00972962">
        <w:t>ș</w:t>
      </w:r>
      <w:r>
        <w:t xml:space="preserve">i se aprobă de către </w:t>
      </w:r>
      <w:r w:rsidR="00603FC3">
        <w:t>Agenție</w:t>
      </w:r>
      <w:r>
        <w:t xml:space="preserve"> ca </w:t>
      </w:r>
      <w:r w:rsidR="00984A11">
        <w:t>costuri</w:t>
      </w:r>
      <w:r>
        <w:t xml:space="preserve"> de bază pentru toată perioada de </w:t>
      </w:r>
      <w:r w:rsidR="00BC0C53">
        <w:t xml:space="preserve">aplicare </w:t>
      </w:r>
      <w:r>
        <w:t>a Metodologiei. Pentru fiecare an ,,n” următor, c</w:t>
      </w:r>
      <w:r w:rsidR="00984A11">
        <w:t>osturile</w:t>
      </w:r>
      <w:r>
        <w:t xml:space="preserve"> în cauză se actualizează în conformitate cu următoarea formulă: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CSP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CSP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×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IPCM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      (27)</m:t>
              </m:r>
            </m:e>
          </m:nary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18.</w:t>
      </w:r>
      <w:r>
        <w:t xml:space="preserve"> Amortizarea </w:t>
      </w:r>
      <w:r w:rsidRPr="003F06AA">
        <w:t xml:space="preserve">mijloacelor fixe </w:t>
      </w:r>
      <w:r w:rsidR="00972962">
        <w:t>ș</w:t>
      </w:r>
      <w:r>
        <w:t xml:space="preserve">i imobilizărilor necorporale </w:t>
      </w:r>
      <w:r w:rsidR="00FB05A4">
        <w:t xml:space="preserve">(UA) </w:t>
      </w:r>
      <w:r>
        <w:t>se determină anual de către Furnizor reie</w:t>
      </w:r>
      <w:r w:rsidR="00972962">
        <w:t>ș</w:t>
      </w:r>
      <w:r>
        <w:t>ind din valoarea de intrare a imobilizărilor necesare pentru desfă</w:t>
      </w:r>
      <w:r w:rsidR="00972962">
        <w:t>ș</w:t>
      </w:r>
      <w:r>
        <w:t>urarea activită</w:t>
      </w:r>
      <w:r w:rsidR="00972962">
        <w:t>ț</w:t>
      </w:r>
      <w:r>
        <w:t xml:space="preserve">ii de furnizare a energiei electrice </w:t>
      </w:r>
      <w:r w:rsidR="00972962">
        <w:t>ș</w:t>
      </w:r>
      <w:r>
        <w:t>i reie</w:t>
      </w:r>
      <w:r w:rsidR="00972962">
        <w:t>ș</w:t>
      </w:r>
      <w:r>
        <w:t xml:space="preserve">ind din durata de </w:t>
      </w:r>
      <w:r w:rsidR="007B46B9">
        <w:t xml:space="preserve">utilizare </w:t>
      </w:r>
      <w:r>
        <w:t xml:space="preserve">a acestora, utilizând metoda amortizării liniare care conduce la defalcări uniforme a amortizării în costurile </w:t>
      </w:r>
      <w:r w:rsidR="00972962">
        <w:t>ș</w:t>
      </w:r>
      <w:r>
        <w:t xml:space="preserve">i cheltuielile Furnizorului, pe toată durata de </w:t>
      </w:r>
      <w:r w:rsidR="007B46B9">
        <w:t xml:space="preserve">utilizare </w:t>
      </w:r>
      <w:r>
        <w:t xml:space="preserve">a </w:t>
      </w:r>
      <w:r w:rsidRPr="003F06AA">
        <w:t>mijloacelor fixe</w:t>
      </w:r>
      <w:r w:rsidR="00972962">
        <w:t>ș</w:t>
      </w:r>
      <w:r>
        <w:t xml:space="preserve">i a </w:t>
      </w:r>
      <w:r w:rsidR="00984A11">
        <w:t>imobilizărilor necorporale</w:t>
      </w:r>
      <w:r>
        <w:t>,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UA</m:t>
              </m:r>
            </m:e>
            <m:sub>
              <m:r>
                <w:rPr>
                  <w:rFonts w:ascii="Cambria Math" w:hAnsi="Cambria Math"/>
                </w:rPr>
                <m:t>tn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VIA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 xml:space="preserve">           (28)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VIAk</w:t>
      </w:r>
      <w:r>
        <w:rPr>
          <w:i/>
          <w:iCs/>
          <w:vertAlign w:val="subscript"/>
        </w:rPr>
        <w:t>n-1</w:t>
      </w:r>
      <w:r>
        <w:t xml:space="preserve"> –valoarea de intrare a </w:t>
      </w:r>
      <w:r w:rsidRPr="003F06AA">
        <w:t xml:space="preserve">mijloacelor fixe </w:t>
      </w:r>
      <w:r w:rsidR="00972962">
        <w:t>ș</w:t>
      </w:r>
      <w:r>
        <w:t>i a imobilizărilor necorporale utilizate în activitatea de furnizare a energiei electrice date în exploatare până în anul ,,n-1”în urma investi</w:t>
      </w:r>
      <w:r w:rsidR="00972962">
        <w:t>ț</w:t>
      </w:r>
      <w:r>
        <w:t>iilor efectuate conform planurilor de investi</w:t>
      </w:r>
      <w:r w:rsidR="00972962">
        <w:t>ț</w:t>
      </w:r>
      <w:r>
        <w:t xml:space="preserve">ii aprobate de </w:t>
      </w:r>
      <w:r w:rsidR="00603FC3">
        <w:t>Agenție</w:t>
      </w:r>
      <w:r>
        <w:t xml:space="preserve">; </w:t>
      </w:r>
    </w:p>
    <w:p w:rsidR="0051256C" w:rsidRDefault="00D62838" w:rsidP="00E63401">
      <w:pPr>
        <w:pStyle w:val="NormalWeb"/>
        <w:spacing w:after="120"/>
        <w:ind w:firstLine="709"/>
      </w:pPr>
      <w:r>
        <w:rPr>
          <w:i/>
          <w:iCs/>
        </w:rPr>
        <w:t>DV</w:t>
      </w:r>
      <w:r>
        <w:rPr>
          <w:i/>
          <w:iCs/>
          <w:vertAlign w:val="subscript"/>
        </w:rPr>
        <w:t>k</w:t>
      </w:r>
      <w:r>
        <w:t xml:space="preserve"> – durata de util</w:t>
      </w:r>
      <w:r w:rsidR="007B46B9">
        <w:t>izare</w:t>
      </w:r>
      <w:r>
        <w:t xml:space="preserve"> a mijloacelor fixe </w:t>
      </w:r>
      <w:r w:rsidR="00972962">
        <w:t>ș</w:t>
      </w:r>
      <w:r>
        <w:t>i a imobilizărilor necorporale de categoria “k”, care trebuie să corespundă duratei reale de via</w:t>
      </w:r>
      <w:r w:rsidR="00972962">
        <w:t>ț</w:t>
      </w:r>
      <w:r>
        <w:t xml:space="preserve">ă a activului. Totodată, această durată de </w:t>
      </w:r>
      <w:r w:rsidR="007B46B9">
        <w:t xml:space="preserve">utilizare </w:t>
      </w:r>
      <w:r>
        <w:t xml:space="preserve">nu poate fi mai mică decât durata indicată în Catalogul mijloacelor fixe </w:t>
      </w:r>
      <w:r w:rsidR="00972962">
        <w:t>ș</w:t>
      </w:r>
      <w:r>
        <w:t>i activelor nemateriale, aprobatprin</w:t>
      </w:r>
      <w:r w:rsidRPr="00802D49">
        <w:t>HotărîreaGuvernului nr.338 din 21.03.2003</w:t>
      </w:r>
      <w:r>
        <w:t>.</w:t>
      </w:r>
    </w:p>
    <w:p w:rsidR="0051256C" w:rsidRDefault="00D62838" w:rsidP="00E63401">
      <w:pPr>
        <w:pStyle w:val="NormalWeb"/>
        <w:spacing w:after="120"/>
        <w:ind w:firstLine="709"/>
      </w:pPr>
      <w:r>
        <w:rPr>
          <w:b/>
          <w:bCs/>
        </w:rPr>
        <w:t>19.</w:t>
      </w:r>
      <w:r w:rsidR="00BD4B44">
        <w:t>P</w:t>
      </w:r>
      <w:r>
        <w:t xml:space="preserve">lanificarea </w:t>
      </w:r>
      <w:r w:rsidR="00972962">
        <w:t>ș</w:t>
      </w:r>
      <w:r>
        <w:t>i efectuarea investi</w:t>
      </w:r>
      <w:r w:rsidR="00972962">
        <w:t>ț</w:t>
      </w:r>
      <w:r>
        <w:t xml:space="preserve">iilor va fi realizată de către Furnizor în conformitate cu prevederile </w:t>
      </w:r>
      <w:r>
        <w:rPr>
          <w:rFonts w:eastAsia="Times New Roman"/>
          <w:lang w:val="ro-RO" w:eastAsia="ru-RU"/>
        </w:rPr>
        <w:t xml:space="preserve">Regulamentul privind planificarea, aprobarea </w:t>
      </w:r>
      <w:r w:rsidR="00972962">
        <w:rPr>
          <w:rFonts w:eastAsia="Times New Roman"/>
          <w:lang w:val="ro-RO" w:eastAsia="ru-RU"/>
        </w:rPr>
        <w:t>ș</w:t>
      </w:r>
      <w:r>
        <w:rPr>
          <w:rFonts w:eastAsia="Times New Roman"/>
          <w:lang w:val="ro-RO" w:eastAsia="ru-RU"/>
        </w:rPr>
        <w:t>i efectuarea investi</w:t>
      </w:r>
      <w:r w:rsidR="00972962">
        <w:rPr>
          <w:rFonts w:eastAsia="Times New Roman"/>
          <w:lang w:val="ro-RO" w:eastAsia="ru-RU"/>
        </w:rPr>
        <w:t>ț</w:t>
      </w:r>
      <w:r>
        <w:rPr>
          <w:rFonts w:eastAsia="Times New Roman"/>
          <w:lang w:val="ro-RO" w:eastAsia="ru-RU"/>
        </w:rPr>
        <w:t xml:space="preserve">iilor, aprobat </w:t>
      </w:r>
      <w:r>
        <w:rPr>
          <w:color w:val="000000"/>
          <w:lang w:val="ro-RO"/>
        </w:rPr>
        <w:t>prin Hotărârea Consiliului de administra</w:t>
      </w:r>
      <w:r w:rsidR="00972962">
        <w:rPr>
          <w:color w:val="000000"/>
          <w:lang w:val="ro-RO"/>
        </w:rPr>
        <w:t>ț</w:t>
      </w:r>
      <w:r w:rsidR="006C7C3D">
        <w:rPr>
          <w:color w:val="000000"/>
          <w:lang w:val="ro-RO"/>
        </w:rPr>
        <w:t xml:space="preserve">ie al </w:t>
      </w:r>
      <w:r w:rsidR="00603FC3">
        <w:t>Agenției</w:t>
      </w:r>
      <w:r>
        <w:rPr>
          <w:color w:val="000000"/>
          <w:lang w:val="ro-RO"/>
        </w:rPr>
        <w:t>nr.</w:t>
      </w:r>
      <w:r w:rsidR="006C7C3D">
        <w:rPr>
          <w:color w:val="000000"/>
          <w:lang w:val="ro-RO"/>
        </w:rPr>
        <w:t> </w:t>
      </w:r>
      <w:r>
        <w:rPr>
          <w:color w:val="000000"/>
          <w:lang w:val="ro-RO"/>
        </w:rPr>
        <w:t>283/2016 din 15</w:t>
      </w:r>
      <w:r w:rsidR="006C7C3D">
        <w:rPr>
          <w:color w:val="000000"/>
          <w:lang w:val="ro-RO"/>
        </w:rPr>
        <w:t> </w:t>
      </w:r>
      <w:r>
        <w:rPr>
          <w:color w:val="000000"/>
          <w:lang w:val="ro-RO"/>
        </w:rPr>
        <w:t>noiembrie 2016.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>20.</w:t>
      </w:r>
      <w:r>
        <w:t xml:space="preserve"> Alte </w:t>
      </w:r>
      <w:r w:rsidRPr="002E3A0B">
        <w:t>cheltuieli de furnizare a energieielectrice (ACF</w:t>
      </w:r>
      <w:r w:rsidRPr="002E3A0B">
        <w:rPr>
          <w:vertAlign w:val="subscript"/>
        </w:rPr>
        <w:t>n</w:t>
      </w:r>
      <w:r w:rsidRPr="002E3A0B">
        <w:t>) includaloca</w:t>
      </w:r>
      <w:r w:rsidR="00972962" w:rsidRPr="002E3A0B">
        <w:t>ț</w:t>
      </w:r>
      <w:r w:rsidRPr="002E3A0B">
        <w:t xml:space="preserve">iaaferentă creării fondului de rulment, </w:t>
      </w:r>
      <w:r w:rsidR="000E717C" w:rsidRPr="002E3A0B">
        <w:t xml:space="preserve">cheltuielile aferente </w:t>
      </w:r>
      <w:r w:rsidRPr="002E3A0B">
        <w:t xml:space="preserve">achitării impozitelor </w:t>
      </w:r>
      <w:r w:rsidR="00972962" w:rsidRPr="002E3A0B">
        <w:t>ș</w:t>
      </w:r>
      <w:r w:rsidRPr="002E3A0B">
        <w:t xml:space="preserve">i а taxelor, care </w:t>
      </w:r>
      <w:r w:rsidRPr="008D3D52">
        <w:t xml:space="preserve">conform </w:t>
      </w:r>
      <w:r w:rsidR="008D3D52" w:rsidRPr="008D3D52">
        <w:t>legislației</w:t>
      </w:r>
      <w:r w:rsidRPr="008D3D52">
        <w:t xml:space="preserve"> se </w:t>
      </w:r>
      <w:r w:rsidRPr="002E3A0B">
        <w:t xml:space="preserve">atribuie la cheltuieli. Aceste cheltuieli se determină </w:t>
      </w:r>
      <w:r>
        <w:t>pentru fiecare an în parte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n"/>
        <w:ind w:firstLine="709"/>
      </w:pPr>
      <w:r>
        <w:rPr>
          <w:i/>
          <w:iCs/>
        </w:rPr>
        <w:t>ACF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= CFR</w:t>
      </w:r>
      <w:r>
        <w:rPr>
          <w:i/>
          <w:iCs/>
          <w:vertAlign w:val="subscript"/>
        </w:rPr>
        <w:t>n</w:t>
      </w:r>
      <w:r>
        <w:rPr>
          <w:i/>
          <w:iCs/>
        </w:rPr>
        <w:t xml:space="preserve"> + T</w:t>
      </w:r>
      <w:r>
        <w:rPr>
          <w:i/>
          <w:iCs/>
          <w:vertAlign w:val="subscript"/>
        </w:rPr>
        <w:t>n</w:t>
      </w:r>
      <w:r>
        <w:t>(</w:t>
      </w:r>
      <w:r w:rsidR="00E63401">
        <w:t>29</w:t>
      </w:r>
      <w:r>
        <w:t>)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CFR</w:t>
      </w:r>
      <w:r>
        <w:rPr>
          <w:i/>
          <w:iCs/>
          <w:vertAlign w:val="subscript"/>
        </w:rPr>
        <w:t>n</w:t>
      </w:r>
      <w:r>
        <w:t>– aloca</w:t>
      </w:r>
      <w:r w:rsidR="00972962">
        <w:t>ț</w:t>
      </w:r>
      <w:r>
        <w:t>iaaferentă fondului de rulment în anul “n”, care se determină conform formulei: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51256C" w:rsidP="00E63401">
      <w:pPr>
        <w:pStyle w:val="cn"/>
        <w:ind w:firstLine="709"/>
      </w:pPr>
    </w:p>
    <w:p w:rsidR="0051256C" w:rsidRDefault="00935F7F" w:rsidP="00E63401">
      <w:pPr>
        <w:pStyle w:val="cn"/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CFR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α×(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CSD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CRF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CMF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CSP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hAnsi="Cambria Math"/>
            </w:rPr>
            <m:t>×Rdn     (30)</m:t>
          </m:r>
        </m:oMath>
      </m:oMathPara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NormalWeb"/>
        <w:ind w:firstLine="709"/>
      </w:pPr>
      <w:r>
        <w:t>unde:</w:t>
      </w:r>
    </w:p>
    <w:p w:rsidR="0051256C" w:rsidRDefault="00D62838" w:rsidP="00E63401">
      <w:pPr>
        <w:pStyle w:val="NormalWeb"/>
        <w:ind w:firstLine="709"/>
      </w:pPr>
      <w:r>
        <w:rPr>
          <w:b/>
          <w:bCs/>
        </w:rPr>
        <w:t xml:space="preserve">α </w:t>
      </w:r>
      <w:r>
        <w:t>– necesitatea în fond de rulment, exprimat</w:t>
      </w:r>
      <w:r w:rsidR="00FB05A4">
        <w:t>ă</w:t>
      </w:r>
      <w:r>
        <w:t xml:space="preserve"> în zile de </w:t>
      </w:r>
      <w:r w:rsidR="00FB05A4">
        <w:t xml:space="preserve">la </w:t>
      </w:r>
      <w:r>
        <w:t>facturare</w:t>
      </w:r>
      <w:r w:rsidR="00FB05A4">
        <w:t>a</w:t>
      </w:r>
      <w:r>
        <w:t xml:space="preserve"> energiei electrice. </w:t>
      </w:r>
      <w:r w:rsidR="00BC0C53">
        <w:t>S</w:t>
      </w:r>
      <w:r>
        <w:t>e stabile</w:t>
      </w:r>
      <w:r w:rsidR="00972962">
        <w:t>ș</w:t>
      </w:r>
      <w:r>
        <w:t xml:space="preserve">te </w:t>
      </w:r>
      <w:r>
        <w:rPr>
          <w:b/>
          <w:bCs/>
        </w:rPr>
        <w:t>α</w:t>
      </w:r>
      <w:r>
        <w:t xml:space="preserve"> = 25 zile, determinat în baza </w:t>
      </w:r>
      <w:r w:rsidR="00FB05A4">
        <w:t xml:space="preserve">termenului </w:t>
      </w:r>
      <w:r w:rsidR="00F36EB6">
        <w:t xml:space="preserve">de </w:t>
      </w:r>
      <w:r>
        <w:t xml:space="preserve">achitare de către consumatorii finali a energiei electrice consumate, conform actelor normative în vigoare, </w:t>
      </w:r>
      <w:r w:rsidR="00972962">
        <w:t>ș</w:t>
      </w:r>
      <w:r>
        <w:t xml:space="preserve">i a </w:t>
      </w:r>
      <w:r w:rsidR="00FB05A4">
        <w:t xml:space="preserve">termenelor </w:t>
      </w:r>
      <w:r>
        <w:t xml:space="preserve">de </w:t>
      </w:r>
      <w:r w:rsidR="009864EC">
        <w:t>achitare</w:t>
      </w:r>
      <w:r>
        <w:t>pentru necesită</w:t>
      </w:r>
      <w:r w:rsidR="00972962">
        <w:t>ț</w:t>
      </w:r>
      <w:r>
        <w:t xml:space="preserve">ile Furnizorului (procurări de energie electrică, </w:t>
      </w:r>
      <w:r w:rsidR="00FB05A4">
        <w:t xml:space="preserve">pentru </w:t>
      </w:r>
      <w:r>
        <w:t xml:space="preserve">serviciul de transport </w:t>
      </w:r>
      <w:r w:rsidR="00972962">
        <w:t>ș</w:t>
      </w:r>
      <w:r>
        <w:t>i de distribu</w:t>
      </w:r>
      <w:r w:rsidR="00972962">
        <w:t>ț</w:t>
      </w:r>
      <w:r>
        <w:t xml:space="preserve">ie a energiei electrice, procurări de materiale </w:t>
      </w:r>
      <w:r w:rsidR="00972962">
        <w:t>ș</w:t>
      </w:r>
      <w:r>
        <w:t>i de servicii);</w:t>
      </w:r>
    </w:p>
    <w:p w:rsidR="00557952" w:rsidRDefault="00557952" w:rsidP="00557952">
      <w:pPr>
        <w:pStyle w:val="NormalWeb"/>
        <w:ind w:firstLine="709"/>
      </w:pPr>
      <w:r>
        <w:rPr>
          <w:i/>
          <w:iCs/>
        </w:rPr>
        <w:t>R</w:t>
      </w:r>
      <w:r>
        <w:rPr>
          <w:i/>
          <w:iCs/>
          <w:vertAlign w:val="subscript"/>
        </w:rPr>
        <w:t>dn</w:t>
      </w:r>
      <w:r>
        <w:t xml:space="preserve"> – rata aplicată la stabilirea alocației aferente fondului de rulment, care se determină conform formulei:</w:t>
      </w:r>
    </w:p>
    <w:p w:rsidR="00557952" w:rsidRDefault="00557952" w:rsidP="00557952">
      <w:pPr>
        <w:pStyle w:val="NormalWeb"/>
        <w:ind w:firstLine="709"/>
        <w:jc w:val="center"/>
        <w:rPr>
          <w:i/>
          <w:iCs/>
        </w:rPr>
      </w:pPr>
      <w:r>
        <w:rPr>
          <w:i/>
          <w:iCs/>
        </w:rPr>
        <w:t>R</w:t>
      </w:r>
      <w:r>
        <w:rPr>
          <w:i/>
          <w:iCs/>
          <w:vertAlign w:val="subscript"/>
        </w:rPr>
        <w:t>dn</w:t>
      </w:r>
      <w:r>
        <w:rPr>
          <w:i/>
          <w:iCs/>
        </w:rPr>
        <w:t xml:space="preserve"> =0,65 × R</w:t>
      </w:r>
      <w:r>
        <w:rPr>
          <w:i/>
          <w:iCs/>
          <w:vertAlign w:val="subscript"/>
        </w:rPr>
        <w:t>USD</w:t>
      </w:r>
      <w:r>
        <w:rPr>
          <w:i/>
          <w:iCs/>
        </w:rPr>
        <w:t>+0,35 × R</w:t>
      </w:r>
      <w:r>
        <w:rPr>
          <w:i/>
          <w:iCs/>
          <w:vertAlign w:val="subscript"/>
        </w:rPr>
        <w:t>MDL</w:t>
      </w:r>
      <w:r>
        <w:rPr>
          <w:i/>
          <w:iCs/>
        </w:rPr>
        <w:tab/>
      </w:r>
      <w:r w:rsidRPr="00216C74">
        <w:rPr>
          <w:iCs/>
        </w:rPr>
        <w:t>(31)</w:t>
      </w:r>
    </w:p>
    <w:p w:rsidR="00557952" w:rsidRDefault="00557952" w:rsidP="00557952">
      <w:pPr>
        <w:pStyle w:val="NormalWeb"/>
        <w:ind w:firstLine="709"/>
      </w:pPr>
      <w:r>
        <w:t>unde:</w:t>
      </w:r>
    </w:p>
    <w:p w:rsidR="00557952" w:rsidRDefault="00557952" w:rsidP="00557952">
      <w:pPr>
        <w:pStyle w:val="NormalWeb"/>
        <w:ind w:firstLine="709"/>
      </w:pPr>
      <w:r>
        <w:rPr>
          <w:i/>
          <w:iCs/>
        </w:rPr>
        <w:t>R</w:t>
      </w:r>
      <w:r>
        <w:rPr>
          <w:i/>
          <w:iCs/>
          <w:vertAlign w:val="subscript"/>
        </w:rPr>
        <w:t>USD</w:t>
      </w:r>
      <w:r>
        <w:t xml:space="preserve"> - rata medie a dobânzilor la creditele acordate persoanelor juridice în anul ,,n”,  în valută străină, </w:t>
      </w:r>
      <w:r w:rsidRPr="00D31D6B">
        <w:t>publicat</w:t>
      </w:r>
      <w:r>
        <w:t>ă</w:t>
      </w:r>
      <w:r w:rsidRPr="00D31D6B">
        <w:t xml:space="preserve"> de Banca Națională a Moldovei la compartimentul: </w:t>
      </w:r>
      <w:r>
        <w:t>Ratele medii ponderate ale dobâ</w:t>
      </w:r>
      <w:r w:rsidRPr="00D31D6B">
        <w:t>nzilor la creditele noi acordate, Rata medie</w:t>
      </w:r>
      <w:r>
        <w:t>ponderată</w:t>
      </w:r>
      <w:r w:rsidRPr="00D31D6B">
        <w:t xml:space="preserve"> la creditele acordate în valută străină/persoane juridice</w:t>
      </w:r>
      <w:r>
        <w:t xml:space="preserve"> /</w:t>
      </w:r>
      <w:r w:rsidRPr="00D31D6B">
        <w:t>p</w:t>
      </w:r>
      <w:r>
        <w:t>ână la</w:t>
      </w:r>
      <w:r w:rsidRPr="00D31D6B">
        <w:t xml:space="preserve"> 12 luni</w:t>
      </w:r>
      <w:r>
        <w:t>;</w:t>
      </w:r>
    </w:p>
    <w:p w:rsidR="00557952" w:rsidRDefault="00557952" w:rsidP="00557952">
      <w:pPr>
        <w:pStyle w:val="NormalWeb"/>
        <w:ind w:firstLine="709"/>
      </w:pPr>
      <w:r>
        <w:rPr>
          <w:i/>
          <w:iCs/>
        </w:rPr>
        <w:t>R</w:t>
      </w:r>
      <w:r>
        <w:rPr>
          <w:i/>
          <w:iCs/>
          <w:vertAlign w:val="subscript"/>
        </w:rPr>
        <w:t>MDL</w:t>
      </w:r>
      <w:r>
        <w:t xml:space="preserve"> - rata medie a dobânzilor la creditele acordate persoanelor juridice în anul ,,n”,  în monedă națională, </w:t>
      </w:r>
      <w:r w:rsidRPr="00D31D6B">
        <w:t>publicat</w:t>
      </w:r>
      <w:r>
        <w:t>ă</w:t>
      </w:r>
      <w:r w:rsidRPr="00D31D6B">
        <w:t xml:space="preserve"> de Banca Națională a Moldovei la compartimentul: </w:t>
      </w:r>
      <w:r>
        <w:t>Ratele medii ponderate ale dobâ</w:t>
      </w:r>
      <w:r w:rsidRPr="00D31D6B">
        <w:t>nzilor la creditele noi acordate, Rata medie</w:t>
      </w:r>
      <w:r>
        <w:t>ponderată</w:t>
      </w:r>
      <w:r w:rsidRPr="00D31D6B">
        <w:t xml:space="preserve"> la creditele acordate în </w:t>
      </w:r>
      <w:r>
        <w:t xml:space="preserve">monedă națională </w:t>
      </w:r>
      <w:r w:rsidRPr="00D31D6B">
        <w:t>/persoane juridice</w:t>
      </w:r>
      <w:r>
        <w:t xml:space="preserve"> /</w:t>
      </w:r>
      <w:r w:rsidRPr="00D31D6B">
        <w:t>p</w:t>
      </w:r>
      <w:r>
        <w:t>ână la</w:t>
      </w:r>
      <w:r w:rsidRPr="00D31D6B">
        <w:t xml:space="preserve"> 12 luni</w:t>
      </w:r>
      <w:r>
        <w:t>;</w:t>
      </w:r>
    </w:p>
    <w:p w:rsidR="0051256C" w:rsidRDefault="00D62838" w:rsidP="00E63401">
      <w:pPr>
        <w:pStyle w:val="NormalWeb"/>
        <w:ind w:firstLine="709"/>
      </w:pPr>
      <w:r>
        <w:rPr>
          <w:i/>
          <w:iCs/>
        </w:rPr>
        <w:t>T</w:t>
      </w:r>
      <w:r>
        <w:rPr>
          <w:i/>
          <w:iCs/>
          <w:vertAlign w:val="subscript"/>
        </w:rPr>
        <w:t>n</w:t>
      </w:r>
      <w:r>
        <w:t xml:space="preserve">– impozitele, taxele </w:t>
      </w:r>
      <w:r w:rsidR="00972962">
        <w:t>ș</w:t>
      </w:r>
      <w:r>
        <w:t>i alte plă</w:t>
      </w:r>
      <w:r w:rsidR="00972962">
        <w:t>ț</w:t>
      </w:r>
      <w:r>
        <w:t xml:space="preserve">i justificate </w:t>
      </w:r>
      <w:r w:rsidR="00972962">
        <w:t>ș</w:t>
      </w:r>
      <w:r>
        <w:t>i necesare de a fi achitate de întreprindere în anul ,,n”, care conform legisla</w:t>
      </w:r>
      <w:r w:rsidR="00972962">
        <w:t>ț</w:t>
      </w:r>
      <w:r>
        <w:t>iei se atribuie la cheltuieli.</w:t>
      </w:r>
    </w:p>
    <w:p w:rsidR="0051256C" w:rsidRDefault="00D62838" w:rsidP="00E63401">
      <w:pPr>
        <w:pStyle w:val="NormalWeb"/>
        <w:ind w:firstLine="709"/>
      </w:pPr>
      <w:r>
        <w:t>În cazul când Furnizorul nu va utiliza integral aloca</w:t>
      </w:r>
      <w:r w:rsidR="00972962">
        <w:t>ț</w:t>
      </w:r>
      <w:r>
        <w:t xml:space="preserve">ia aferentă fondului de rulment pentru plata dobânzilor la creditele contractate pe termen scurt, </w:t>
      </w:r>
      <w:r w:rsidR="00603FC3">
        <w:t>Agenția</w:t>
      </w:r>
      <w:r>
        <w:t>, la actualizarea pre</w:t>
      </w:r>
      <w:r w:rsidR="00972962">
        <w:t>ț</w:t>
      </w:r>
      <w:r>
        <w:t xml:space="preserve">urilor </w:t>
      </w:r>
      <w:r>
        <w:lastRenderedPageBreak/>
        <w:t xml:space="preserve">reglementate pentru </w:t>
      </w:r>
      <w:r w:rsidR="0023533E">
        <w:t>furnizarea energiei electrice, poate</w:t>
      </w:r>
      <w:r>
        <w:t xml:space="preserve"> diminua valoarea venitului reglementat cu cuantumul aloca</w:t>
      </w:r>
      <w:r w:rsidR="00972962">
        <w:t>ț</w:t>
      </w:r>
      <w:r>
        <w:t>iei utilizate în alte scopuri.</w:t>
      </w:r>
    </w:p>
    <w:p w:rsidR="0051256C" w:rsidRDefault="00D62838" w:rsidP="00E63401">
      <w:pPr>
        <w:pStyle w:val="NormalWeb"/>
        <w:ind w:firstLine="709"/>
      </w:pPr>
      <w:r>
        <w:t> </w:t>
      </w:r>
    </w:p>
    <w:p w:rsidR="0051256C" w:rsidRDefault="00D62838" w:rsidP="00E63401">
      <w:pPr>
        <w:pStyle w:val="cp"/>
        <w:ind w:firstLine="709"/>
      </w:pPr>
      <w:r>
        <w:t>Sec</w:t>
      </w:r>
      <w:r w:rsidR="00972962">
        <w:t>ț</w:t>
      </w:r>
      <w:r>
        <w:t>iunea 5</w:t>
      </w:r>
    </w:p>
    <w:p w:rsidR="0051256C" w:rsidRDefault="00D62838" w:rsidP="00E63401">
      <w:pPr>
        <w:pStyle w:val="cp"/>
        <w:ind w:firstLine="709"/>
      </w:pPr>
      <w:r>
        <w:t xml:space="preserve">APROBAREA, ACTUALIZAREA </w:t>
      </w:r>
      <w:r w:rsidR="00972962">
        <w:t>Ș</w:t>
      </w:r>
      <w:r>
        <w:t>I APLICAREA PRE</w:t>
      </w:r>
      <w:r w:rsidR="00972962">
        <w:t>Ț</w:t>
      </w:r>
      <w:r>
        <w:t>URILOR REGLEMENTATE</w:t>
      </w:r>
    </w:p>
    <w:p w:rsidR="0051256C" w:rsidRDefault="00D62838" w:rsidP="00EE2712">
      <w:pPr>
        <w:pStyle w:val="Default"/>
        <w:ind w:firstLine="708"/>
        <w:jc w:val="both"/>
      </w:pPr>
      <w:r>
        <w:rPr>
          <w:b/>
          <w:bCs/>
        </w:rPr>
        <w:t>21.</w:t>
      </w:r>
      <w:r w:rsidRPr="00C673D5">
        <w:t>Pre</w:t>
      </w:r>
      <w:r w:rsidR="00972962" w:rsidRPr="00C673D5">
        <w:t>ț</w:t>
      </w:r>
      <w:r w:rsidRPr="00C673D5">
        <w:t xml:space="preserve">urile reglementate de furnizare a energiei electrice se determină anual de către Furnizori </w:t>
      </w:r>
      <w:r w:rsidR="00972962" w:rsidRPr="00C673D5">
        <w:t>ș</w:t>
      </w:r>
      <w:r w:rsidRPr="00C673D5">
        <w:t>i se aprobă de către Consiliul de Administra</w:t>
      </w:r>
      <w:r w:rsidR="00972962" w:rsidRPr="00C673D5">
        <w:t>ț</w:t>
      </w:r>
      <w:r w:rsidRPr="00C673D5">
        <w:t xml:space="preserve">ie al </w:t>
      </w:r>
      <w:r w:rsidR="00603FC3" w:rsidRPr="00C673D5">
        <w:t>Agenției</w:t>
      </w:r>
      <w:r w:rsidR="00FB05A4" w:rsidRPr="00C673D5">
        <w:t xml:space="preserve">, </w:t>
      </w:r>
      <w:r w:rsidR="00C673D5">
        <w:t>potrivit termenelor și condiț</w:t>
      </w:r>
      <w:r w:rsidR="00FB05A4" w:rsidRPr="00C673D5">
        <w:t>iilor stabilite în Regulamentul privind procedurile de prezentare și de examinare a cererilor tit</w:t>
      </w:r>
      <w:r w:rsidR="00C673D5">
        <w:t>ularilor de licențe privind prețurile ș</w:t>
      </w:r>
      <w:r w:rsidR="00FB05A4" w:rsidRPr="00C673D5">
        <w:t>i tarifele reglementate</w:t>
      </w:r>
      <w:r>
        <w:t xml:space="preserve">. </w:t>
      </w:r>
    </w:p>
    <w:p w:rsidR="0051256C" w:rsidRDefault="00D62838" w:rsidP="00E63401">
      <w:pPr>
        <w:pStyle w:val="NormalWeb"/>
        <w:spacing w:before="120"/>
        <w:ind w:firstLine="709"/>
      </w:pPr>
      <w:r>
        <w:rPr>
          <w:b/>
          <w:bCs/>
        </w:rPr>
        <w:t>22.</w:t>
      </w:r>
      <w:r>
        <w:t xml:space="preserve"> Furnizorul </w:t>
      </w:r>
      <w:r w:rsidR="00705F32">
        <w:t>este în</w:t>
      </w:r>
      <w:r>
        <w:t xml:space="preserve"> drept să solicite </w:t>
      </w:r>
      <w:r w:rsidR="00603FC3">
        <w:t>Agenției</w:t>
      </w:r>
      <w:r>
        <w:t xml:space="preserve"> actualizarea pre</w:t>
      </w:r>
      <w:r w:rsidR="00972962">
        <w:t>ț</w:t>
      </w:r>
      <w:r>
        <w:t>urilor reglementate în decursul anului, dacă există factori obiectivi ce nu pot fi controla</w:t>
      </w:r>
      <w:r w:rsidR="00972962">
        <w:t>ț</w:t>
      </w:r>
      <w:r>
        <w:t>i de acesta (modificarea pre</w:t>
      </w:r>
      <w:r w:rsidR="00972962">
        <w:t>ț</w:t>
      </w:r>
      <w:r>
        <w:t>urilor de procurare a energiei electrice, fluctua</w:t>
      </w:r>
      <w:r w:rsidR="00972962">
        <w:t>ț</w:t>
      </w:r>
      <w:r>
        <w:t>ia cursului de schimb al valutei na</w:t>
      </w:r>
      <w:r w:rsidR="00972962">
        <w:t>ț</w:t>
      </w:r>
      <w:r>
        <w:t>ionale, apari</w:t>
      </w:r>
      <w:r w:rsidR="00972962">
        <w:t>ț</w:t>
      </w:r>
      <w:r>
        <w:t xml:space="preserve">ia actelor normative ce </w:t>
      </w:r>
      <w:r w:rsidR="00366DC7">
        <w:t>con</w:t>
      </w:r>
      <w:r>
        <w:t xml:space="preserve">duc la majorarea costurilor de furnizare etc.), care justifică o astfel de actualizare </w:t>
      </w:r>
      <w:r w:rsidR="00972962">
        <w:t>ș</w:t>
      </w:r>
      <w:r>
        <w:t xml:space="preserve">i care duc la o deviere mai mare de 5,0% din costul anual de furnizare a energiei electrice </w:t>
      </w:r>
      <w:r w:rsidR="00D847E1">
        <w:t xml:space="preserve">inclus </w:t>
      </w:r>
      <w:r>
        <w:t>în pre</w:t>
      </w:r>
      <w:r w:rsidR="00972962">
        <w:t>ț</w:t>
      </w:r>
      <w:r>
        <w:t xml:space="preserve">urile reglementate. În acest caz, Furnizorul va prezenta </w:t>
      </w:r>
      <w:r w:rsidR="00603FC3">
        <w:t>Agenției</w:t>
      </w:r>
      <w:r>
        <w:t xml:space="preserve"> o analiză a factorilor de influen</w:t>
      </w:r>
      <w:r w:rsidR="00972962">
        <w:t>ț</w:t>
      </w:r>
      <w:r>
        <w:t xml:space="preserve">ă </w:t>
      </w:r>
      <w:r w:rsidR="00972962">
        <w:t>ș</w:t>
      </w:r>
      <w:r>
        <w:t>i a devierilor dintre datele aplicate la calcularea pre</w:t>
      </w:r>
      <w:r w:rsidR="00972962">
        <w:t>ț</w:t>
      </w:r>
      <w:r>
        <w:t xml:space="preserve">urilor reglementate </w:t>
      </w:r>
      <w:r w:rsidR="00972962">
        <w:t>ș</w:t>
      </w:r>
      <w:r>
        <w:t>i cele real înregi</w:t>
      </w:r>
      <w:r w:rsidR="00561934">
        <w:t xml:space="preserve">strate. </w:t>
      </w:r>
    </w:p>
    <w:p w:rsidR="00174AEA" w:rsidRDefault="00174AEA" w:rsidP="00E63401">
      <w:pPr>
        <w:pStyle w:val="NormalWeb"/>
        <w:spacing w:before="120"/>
        <w:ind w:firstLine="709"/>
      </w:pPr>
      <w:r w:rsidRPr="00174AEA">
        <w:rPr>
          <w:b/>
          <w:lang w:val="ro-RO"/>
        </w:rPr>
        <w:t>23.</w:t>
      </w:r>
      <w:r w:rsidR="00D16B01" w:rsidRPr="00D16B01">
        <w:rPr>
          <w:lang w:val="ro-RO"/>
        </w:rPr>
        <w:t xml:space="preserve">În cazul existenței unor factori obiectivi care generează devieri mai mari de 5% din costul anual de </w:t>
      </w:r>
      <w:r w:rsidR="00D16B01">
        <w:t>furnizare a energiei electrice stabilit în prețurile reglementate</w:t>
      </w:r>
      <w:r w:rsidR="00D16B01" w:rsidRPr="00D16B01">
        <w:rPr>
          <w:lang w:val="ro-RO"/>
        </w:rPr>
        <w:t xml:space="preserve"> și care duc la diminuarea </w:t>
      </w:r>
      <w:r w:rsidR="00D16B01">
        <w:rPr>
          <w:lang w:val="ro-RO"/>
        </w:rPr>
        <w:t>prețurilor</w:t>
      </w:r>
      <w:r w:rsidR="00D16B01" w:rsidRPr="00D16B01">
        <w:rPr>
          <w:lang w:val="ro-RO"/>
        </w:rPr>
        <w:t xml:space="preserve">, Agenția este în drept să solicite </w:t>
      </w:r>
      <w:r w:rsidR="00D16B01">
        <w:rPr>
          <w:lang w:val="ro-RO"/>
        </w:rPr>
        <w:t>Furnizorului</w:t>
      </w:r>
      <w:r w:rsidR="00D16B01" w:rsidRPr="00D16B01">
        <w:rPr>
          <w:lang w:val="ro-RO"/>
        </w:rPr>
        <w:t xml:space="preserve"> prezentarea calculului </w:t>
      </w:r>
      <w:r w:rsidR="00D16B01">
        <w:rPr>
          <w:lang w:val="ro-RO"/>
        </w:rPr>
        <w:t>prețului</w:t>
      </w:r>
      <w:r w:rsidR="00D16B01" w:rsidRPr="00D16B01">
        <w:rPr>
          <w:lang w:val="ro-RO"/>
        </w:rPr>
        <w:t xml:space="preserve"> ajustat</w:t>
      </w:r>
      <w:r w:rsidR="00D16B01">
        <w:rPr>
          <w:lang w:val="ro-RO"/>
        </w:rPr>
        <w:t>.</w:t>
      </w:r>
    </w:p>
    <w:p w:rsidR="0051256C" w:rsidRDefault="00D62838" w:rsidP="00E63401">
      <w:pPr>
        <w:pStyle w:val="NormalWeb"/>
        <w:spacing w:before="120"/>
        <w:ind w:firstLine="709"/>
      </w:pPr>
      <w:r>
        <w:rPr>
          <w:b/>
          <w:bCs/>
        </w:rPr>
        <w:t>2</w:t>
      </w:r>
      <w:r w:rsidR="00174AEA">
        <w:rPr>
          <w:b/>
          <w:bCs/>
        </w:rPr>
        <w:t>4</w:t>
      </w:r>
      <w:r>
        <w:rPr>
          <w:b/>
          <w:bCs/>
        </w:rPr>
        <w:t>.</w:t>
      </w:r>
      <w:r>
        <w:t xml:space="preserve"> Devierile tarifare create pe parcursul anului ,,n-1” de gestiune vor fi incluse în pre</w:t>
      </w:r>
      <w:r w:rsidR="00972962">
        <w:t>ț</w:t>
      </w:r>
      <w:r>
        <w:t>ul reglementat pentru anul ,,n”, actualizate la rata medie anuală a dobânzii la creditele bancare în lei moldovene</w:t>
      </w:r>
      <w:r w:rsidR="00972962">
        <w:t>ș</w:t>
      </w:r>
      <w:r>
        <w:t>ti, în baza valorilor devierilor determinate lunar. În cazul modificării pre</w:t>
      </w:r>
      <w:r w:rsidR="00972962">
        <w:t>ț</w:t>
      </w:r>
      <w:r>
        <w:t>urilor reglementate în decursul anului de gestiune, devieriletarifare (Dev) generate înperioada precedentă a anului de gestiune vor fi luate în considera</w:t>
      </w:r>
      <w:r w:rsidR="00972962">
        <w:t>ț</w:t>
      </w:r>
      <w:r>
        <w:t>ie în totalitate la calcularea noilor pre</w:t>
      </w:r>
      <w:r w:rsidR="00972962">
        <w:t>ț</w:t>
      </w:r>
      <w:r>
        <w:t>uri reglementate. În acest caz, devierile tarifare se includ în pre</w:t>
      </w:r>
      <w:r w:rsidR="00972962">
        <w:t>ț</w:t>
      </w:r>
      <w:r>
        <w:t>ul reglementat astfel ca acestea să fie recuperate până la sfâr</w:t>
      </w:r>
      <w:r w:rsidR="00972962">
        <w:t>ș</w:t>
      </w:r>
      <w:r>
        <w:t>itul anului de gestiune.</w:t>
      </w:r>
    </w:p>
    <w:p w:rsidR="0051256C" w:rsidRDefault="00D62838" w:rsidP="00E63401">
      <w:pPr>
        <w:pStyle w:val="NormalWeb"/>
        <w:spacing w:before="120"/>
        <w:ind w:firstLine="709"/>
      </w:pPr>
      <w:r>
        <w:rPr>
          <w:b/>
          <w:bCs/>
        </w:rPr>
        <w:t>2</w:t>
      </w:r>
      <w:r w:rsidR="00174AEA">
        <w:rPr>
          <w:b/>
          <w:bCs/>
        </w:rPr>
        <w:t>5</w:t>
      </w:r>
      <w:r>
        <w:rPr>
          <w:b/>
          <w:bCs/>
        </w:rPr>
        <w:t>.</w:t>
      </w:r>
      <w:r>
        <w:t xml:space="preserve"> Variabila Dev</w:t>
      </w:r>
      <w:r>
        <w:rPr>
          <w:vertAlign w:val="subscript"/>
        </w:rPr>
        <w:t>n-1</w:t>
      </w:r>
      <w:r>
        <w:t xml:space="preserve"> va fi calculată în fiecare an de gestiune pentru a reflecta impactul financiar al devierilor dintre valorile prognozate ale indicatorilor la stabilirea pre</w:t>
      </w:r>
      <w:r w:rsidR="00972962">
        <w:t>ț</w:t>
      </w:r>
      <w:r>
        <w:t xml:space="preserve">ului reglementat în anul “n-1” </w:t>
      </w:r>
      <w:r w:rsidR="00972962">
        <w:t>ș</w:t>
      </w:r>
      <w:r>
        <w:t>i cele real înregistrate în acest an.</w:t>
      </w:r>
    </w:p>
    <w:p w:rsidR="0051256C" w:rsidRDefault="00174AEA" w:rsidP="00E63401">
      <w:pPr>
        <w:pStyle w:val="NormalWeb"/>
        <w:spacing w:before="120"/>
        <w:ind w:firstLine="709"/>
      </w:pPr>
      <w:r>
        <w:rPr>
          <w:b/>
          <w:bCs/>
        </w:rPr>
        <w:t>26</w:t>
      </w:r>
      <w:r w:rsidR="00D62838">
        <w:rPr>
          <w:b/>
          <w:bCs/>
        </w:rPr>
        <w:t>.</w:t>
      </w:r>
      <w:r w:rsidR="00D62838">
        <w:t xml:space="preserve"> În cazul în care în perioada de </w:t>
      </w:r>
      <w:r w:rsidR="00BC0C53">
        <w:t xml:space="preserve">aplicare </w:t>
      </w:r>
      <w:r w:rsidR="00D62838">
        <w:t>a Metodologiei vor fi adoptate acte normative de reglementare</w:t>
      </w:r>
      <w:r w:rsidR="00E63401">
        <w:t>,</w:t>
      </w:r>
      <w:r w:rsidR="00D62838">
        <w:t xml:space="preserve"> care vor influen</w:t>
      </w:r>
      <w:r w:rsidR="00972962">
        <w:t>ț</w:t>
      </w:r>
      <w:r w:rsidR="00D62838">
        <w:t xml:space="preserve">a nivelul costurilor </w:t>
      </w:r>
      <w:r w:rsidR="00972962">
        <w:t>ș</w:t>
      </w:r>
      <w:r w:rsidR="00D62838">
        <w:t>i al cheltuielilor de furnizare a energiei electrice, aceste modificări vor fi luate în considera</w:t>
      </w:r>
      <w:r w:rsidR="00972962">
        <w:t>ț</w:t>
      </w:r>
      <w:r w:rsidR="00D62838">
        <w:t xml:space="preserve">ie de către </w:t>
      </w:r>
      <w:r w:rsidR="00603FC3">
        <w:t>Agenție</w:t>
      </w:r>
      <w:r w:rsidR="00D62838">
        <w:t xml:space="preserve"> la ajustarea pre</w:t>
      </w:r>
      <w:r w:rsidR="00972962">
        <w:t>ț</w:t>
      </w:r>
      <w:r w:rsidR="00D62838">
        <w:t>urilor reglementate.</w:t>
      </w:r>
      <w:r w:rsidR="00C226F8" w:rsidRPr="00C226F8">
        <w:t xml:space="preserve">În metodologie </w:t>
      </w:r>
      <w:r w:rsidR="00D16B01">
        <w:t>sunt</w:t>
      </w:r>
      <w:r w:rsidR="00C226F8" w:rsidRPr="00C226F8">
        <w:t xml:space="preserve"> introduse modificări pe parcursul perioadei de aplicare, în măsura necesară pentru a asigura respectarea cadrului </w:t>
      </w:r>
      <w:r w:rsidR="0006355A">
        <w:t>normativ</w:t>
      </w:r>
      <w:r w:rsidR="00C226F8" w:rsidRPr="00C226F8">
        <w:t>al Republicii Moldova</w:t>
      </w:r>
      <w:r w:rsidR="00E63401">
        <w:t>.</w:t>
      </w:r>
    </w:p>
    <w:sectPr w:rsidR="0051256C" w:rsidSect="00E63401">
      <w:headerReference w:type="default" r:id="rId6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E3" w:rsidRDefault="004617E3" w:rsidP="008E272E">
      <w:r>
        <w:separator/>
      </w:r>
    </w:p>
  </w:endnote>
  <w:endnote w:type="continuationSeparator" w:id="1">
    <w:p w:rsidR="004617E3" w:rsidRDefault="004617E3" w:rsidP="008E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E3" w:rsidRDefault="004617E3" w:rsidP="008E272E">
      <w:r>
        <w:separator/>
      </w:r>
    </w:p>
  </w:footnote>
  <w:footnote w:type="continuationSeparator" w:id="1">
    <w:p w:rsidR="004617E3" w:rsidRDefault="004617E3" w:rsidP="008E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888209"/>
      <w:docPartObj>
        <w:docPartGallery w:val="Page Numbers (Top of Page)"/>
        <w:docPartUnique/>
      </w:docPartObj>
    </w:sdtPr>
    <w:sdtEndPr>
      <w:rPr>
        <w:i/>
        <w:noProof/>
        <w:sz w:val="22"/>
      </w:rPr>
    </w:sdtEndPr>
    <w:sdtContent>
      <w:p w:rsidR="008E57C4" w:rsidRPr="002E3A0B" w:rsidRDefault="00935F7F">
        <w:pPr>
          <w:pStyle w:val="Header"/>
          <w:jc w:val="right"/>
          <w:rPr>
            <w:i/>
            <w:sz w:val="22"/>
          </w:rPr>
        </w:pPr>
        <w:r w:rsidRPr="002E3A0B">
          <w:rPr>
            <w:i/>
            <w:sz w:val="22"/>
          </w:rPr>
          <w:fldChar w:fldCharType="begin"/>
        </w:r>
        <w:r w:rsidR="008E57C4" w:rsidRPr="002E3A0B">
          <w:rPr>
            <w:i/>
            <w:sz w:val="22"/>
          </w:rPr>
          <w:instrText xml:space="preserve"> PAGE   \* MERGEFORMAT </w:instrText>
        </w:r>
        <w:r w:rsidRPr="002E3A0B">
          <w:rPr>
            <w:i/>
            <w:sz w:val="22"/>
          </w:rPr>
          <w:fldChar w:fldCharType="separate"/>
        </w:r>
        <w:r w:rsidR="001849A7">
          <w:rPr>
            <w:i/>
            <w:noProof/>
            <w:sz w:val="22"/>
          </w:rPr>
          <w:t>11</w:t>
        </w:r>
        <w:r w:rsidRPr="002E3A0B">
          <w:rPr>
            <w:i/>
            <w:noProof/>
            <w:sz w:val="22"/>
          </w:rPr>
          <w:fldChar w:fldCharType="end"/>
        </w:r>
      </w:p>
    </w:sdtContent>
  </w:sdt>
  <w:p w:rsidR="008E57C4" w:rsidRDefault="008E5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2B"/>
    <w:rsid w:val="00024EF6"/>
    <w:rsid w:val="00054832"/>
    <w:rsid w:val="0006355A"/>
    <w:rsid w:val="00074220"/>
    <w:rsid w:val="000958D0"/>
    <w:rsid w:val="000B3513"/>
    <w:rsid w:val="000E717C"/>
    <w:rsid w:val="0012566A"/>
    <w:rsid w:val="00125879"/>
    <w:rsid w:val="00143D2B"/>
    <w:rsid w:val="00144453"/>
    <w:rsid w:val="00174AEA"/>
    <w:rsid w:val="0018054C"/>
    <w:rsid w:val="00181C10"/>
    <w:rsid w:val="001842BB"/>
    <w:rsid w:val="001849A7"/>
    <w:rsid w:val="001864AE"/>
    <w:rsid w:val="00194D14"/>
    <w:rsid w:val="001A67DC"/>
    <w:rsid w:val="001B1E48"/>
    <w:rsid w:val="001D5A5B"/>
    <w:rsid w:val="001E1B8F"/>
    <w:rsid w:val="00217B22"/>
    <w:rsid w:val="00217BC1"/>
    <w:rsid w:val="0023533E"/>
    <w:rsid w:val="002B07DD"/>
    <w:rsid w:val="002E3A0B"/>
    <w:rsid w:val="003030C2"/>
    <w:rsid w:val="003278C4"/>
    <w:rsid w:val="00343F5F"/>
    <w:rsid w:val="00366DC7"/>
    <w:rsid w:val="003C68B7"/>
    <w:rsid w:val="003F06AA"/>
    <w:rsid w:val="003F1E03"/>
    <w:rsid w:val="00401BDD"/>
    <w:rsid w:val="0040600E"/>
    <w:rsid w:val="00430124"/>
    <w:rsid w:val="00435C84"/>
    <w:rsid w:val="0045749A"/>
    <w:rsid w:val="004617E3"/>
    <w:rsid w:val="00464E4E"/>
    <w:rsid w:val="004763A4"/>
    <w:rsid w:val="00481926"/>
    <w:rsid w:val="004A28A4"/>
    <w:rsid w:val="004B63B7"/>
    <w:rsid w:val="004E47B4"/>
    <w:rsid w:val="0051256C"/>
    <w:rsid w:val="00526579"/>
    <w:rsid w:val="00553FD2"/>
    <w:rsid w:val="00557952"/>
    <w:rsid w:val="00561934"/>
    <w:rsid w:val="00562D17"/>
    <w:rsid w:val="00592782"/>
    <w:rsid w:val="005976D6"/>
    <w:rsid w:val="005B2017"/>
    <w:rsid w:val="005B798D"/>
    <w:rsid w:val="00603FC3"/>
    <w:rsid w:val="0062690D"/>
    <w:rsid w:val="00640B1D"/>
    <w:rsid w:val="0064769D"/>
    <w:rsid w:val="0067190A"/>
    <w:rsid w:val="006842C5"/>
    <w:rsid w:val="006B2FAD"/>
    <w:rsid w:val="006C1315"/>
    <w:rsid w:val="006C7C3D"/>
    <w:rsid w:val="00705F32"/>
    <w:rsid w:val="007302BF"/>
    <w:rsid w:val="007329C4"/>
    <w:rsid w:val="007472B7"/>
    <w:rsid w:val="0078104D"/>
    <w:rsid w:val="00794F8C"/>
    <w:rsid w:val="007A55C3"/>
    <w:rsid w:val="007B46B9"/>
    <w:rsid w:val="007E158B"/>
    <w:rsid w:val="00802D49"/>
    <w:rsid w:val="008D3D52"/>
    <w:rsid w:val="008D4664"/>
    <w:rsid w:val="008E272E"/>
    <w:rsid w:val="008E57C4"/>
    <w:rsid w:val="008E747A"/>
    <w:rsid w:val="008F1D34"/>
    <w:rsid w:val="009104BE"/>
    <w:rsid w:val="0092663B"/>
    <w:rsid w:val="00933553"/>
    <w:rsid w:val="00935F7F"/>
    <w:rsid w:val="009437E9"/>
    <w:rsid w:val="009632D6"/>
    <w:rsid w:val="00972962"/>
    <w:rsid w:val="00984A11"/>
    <w:rsid w:val="009864EC"/>
    <w:rsid w:val="00992416"/>
    <w:rsid w:val="009B7C4B"/>
    <w:rsid w:val="00A078FD"/>
    <w:rsid w:val="00B0319B"/>
    <w:rsid w:val="00B2675D"/>
    <w:rsid w:val="00B32511"/>
    <w:rsid w:val="00B74F95"/>
    <w:rsid w:val="00BB2F70"/>
    <w:rsid w:val="00BC0C53"/>
    <w:rsid w:val="00BD4B44"/>
    <w:rsid w:val="00BD5D33"/>
    <w:rsid w:val="00BD7E1A"/>
    <w:rsid w:val="00C0225E"/>
    <w:rsid w:val="00C226F8"/>
    <w:rsid w:val="00C6690B"/>
    <w:rsid w:val="00C673D5"/>
    <w:rsid w:val="00C678F7"/>
    <w:rsid w:val="00C85779"/>
    <w:rsid w:val="00C91163"/>
    <w:rsid w:val="00CA478A"/>
    <w:rsid w:val="00D030BE"/>
    <w:rsid w:val="00D05223"/>
    <w:rsid w:val="00D16B01"/>
    <w:rsid w:val="00D31D6B"/>
    <w:rsid w:val="00D409B0"/>
    <w:rsid w:val="00D4232C"/>
    <w:rsid w:val="00D562DA"/>
    <w:rsid w:val="00D62838"/>
    <w:rsid w:val="00D83F09"/>
    <w:rsid w:val="00D847E1"/>
    <w:rsid w:val="00DB21B1"/>
    <w:rsid w:val="00DE28B5"/>
    <w:rsid w:val="00E253FC"/>
    <w:rsid w:val="00E60B57"/>
    <w:rsid w:val="00E63401"/>
    <w:rsid w:val="00E75F58"/>
    <w:rsid w:val="00E8162B"/>
    <w:rsid w:val="00E97F28"/>
    <w:rsid w:val="00EB7DF4"/>
    <w:rsid w:val="00EC1340"/>
    <w:rsid w:val="00EC212B"/>
    <w:rsid w:val="00EE2712"/>
    <w:rsid w:val="00F04B7C"/>
    <w:rsid w:val="00F210B0"/>
    <w:rsid w:val="00F31C17"/>
    <w:rsid w:val="00F36EB6"/>
    <w:rsid w:val="00F733A3"/>
    <w:rsid w:val="00F84D73"/>
    <w:rsid w:val="00FB05A4"/>
    <w:rsid w:val="00FC5D15"/>
    <w:rsid w:val="00FE25CC"/>
    <w:rsid w:val="00FF0CFF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F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F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35F7F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7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F7F"/>
    <w:rPr>
      <w:rFonts w:ascii="Tahoma" w:eastAsiaTheme="minorEastAsia" w:hAnsi="Tahoma" w:cs="Tahoma" w:hint="default"/>
      <w:sz w:val="16"/>
      <w:szCs w:val="16"/>
    </w:rPr>
  </w:style>
  <w:style w:type="paragraph" w:customStyle="1" w:styleId="forma">
    <w:name w:val="forma"/>
    <w:basedOn w:val="Normal"/>
    <w:uiPriority w:val="99"/>
    <w:semiHidden/>
    <w:rsid w:val="00935F7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Normal"/>
    <w:uiPriority w:val="99"/>
    <w:semiHidden/>
    <w:rsid w:val="00935F7F"/>
    <w:pPr>
      <w:jc w:val="center"/>
    </w:pPr>
    <w:rPr>
      <w:b/>
      <w:bCs/>
    </w:rPr>
  </w:style>
  <w:style w:type="paragraph" w:customStyle="1" w:styleId="pb">
    <w:name w:val="pb"/>
    <w:basedOn w:val="Normal"/>
    <w:uiPriority w:val="99"/>
    <w:semiHidden/>
    <w:rsid w:val="00935F7F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uiPriority w:val="99"/>
    <w:semiHidden/>
    <w:rsid w:val="00935F7F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uiPriority w:val="99"/>
    <w:semiHidden/>
    <w:rsid w:val="00935F7F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uiPriority w:val="99"/>
    <w:semiHidden/>
    <w:rsid w:val="00935F7F"/>
    <w:pPr>
      <w:jc w:val="center"/>
    </w:pPr>
    <w:rPr>
      <w:b/>
      <w:bCs/>
    </w:rPr>
  </w:style>
  <w:style w:type="paragraph" w:customStyle="1" w:styleId="nt">
    <w:name w:val="nt"/>
    <w:basedOn w:val="Normal"/>
    <w:uiPriority w:val="99"/>
    <w:semiHidden/>
    <w:rsid w:val="00935F7F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uiPriority w:val="99"/>
    <w:semiHidden/>
    <w:rsid w:val="00935F7F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Normal"/>
    <w:uiPriority w:val="99"/>
    <w:semiHidden/>
    <w:rsid w:val="00935F7F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uiPriority w:val="99"/>
    <w:semiHidden/>
    <w:rsid w:val="00935F7F"/>
    <w:pPr>
      <w:jc w:val="center"/>
    </w:pPr>
  </w:style>
  <w:style w:type="paragraph" w:customStyle="1" w:styleId="cb">
    <w:name w:val="cb"/>
    <w:basedOn w:val="Normal"/>
    <w:uiPriority w:val="99"/>
    <w:semiHidden/>
    <w:rsid w:val="00935F7F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semiHidden/>
    <w:rsid w:val="00935F7F"/>
    <w:pPr>
      <w:jc w:val="right"/>
    </w:pPr>
  </w:style>
  <w:style w:type="paragraph" w:customStyle="1" w:styleId="js">
    <w:name w:val="js"/>
    <w:basedOn w:val="Normal"/>
    <w:uiPriority w:val="99"/>
    <w:semiHidden/>
    <w:rsid w:val="00935F7F"/>
    <w:pPr>
      <w:jc w:val="both"/>
    </w:pPr>
  </w:style>
  <w:style w:type="paragraph" w:customStyle="1" w:styleId="lf">
    <w:name w:val="lf"/>
    <w:basedOn w:val="Normal"/>
    <w:uiPriority w:val="99"/>
    <w:semiHidden/>
    <w:rsid w:val="00935F7F"/>
  </w:style>
  <w:style w:type="character" w:customStyle="1" w:styleId="TextnBalonCaracter">
    <w:name w:val="Text în Balon Caracter"/>
    <w:basedOn w:val="DefaultParagraphFont"/>
    <w:link w:val="TextnBalon"/>
    <w:uiPriority w:val="99"/>
    <w:semiHidden/>
    <w:locked/>
    <w:rsid w:val="00935F7F"/>
    <w:rPr>
      <w:rFonts w:ascii="Tahoma" w:eastAsiaTheme="minorEastAsia" w:hAnsi="Tahoma" w:cs="Tahoma" w:hint="default"/>
      <w:sz w:val="16"/>
      <w:szCs w:val="16"/>
    </w:rPr>
  </w:style>
  <w:style w:type="paragraph" w:customStyle="1" w:styleId="TextnBalon">
    <w:name w:val="Text în Balon"/>
    <w:basedOn w:val="Normal"/>
    <w:link w:val="TextnBalonCaracter"/>
    <w:uiPriority w:val="99"/>
    <w:semiHidden/>
    <w:rsid w:val="00935F7F"/>
  </w:style>
  <w:style w:type="character" w:styleId="PlaceholderText">
    <w:name w:val="Placeholder Text"/>
    <w:basedOn w:val="DefaultParagraphFont"/>
    <w:uiPriority w:val="99"/>
    <w:semiHidden/>
    <w:rsid w:val="00935F7F"/>
    <w:rPr>
      <w:color w:val="808080"/>
    </w:rPr>
  </w:style>
  <w:style w:type="table" w:customStyle="1" w:styleId="TabelNormal">
    <w:name w:val="Tabel Normal"/>
    <w:uiPriority w:val="99"/>
    <w:semiHidden/>
    <w:qFormat/>
    <w:rsid w:val="00935F7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2E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8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8B"/>
    <w:rPr>
      <w:rFonts w:eastAsiaTheme="minorEastAsia"/>
      <w:b/>
      <w:bCs/>
    </w:rPr>
  </w:style>
  <w:style w:type="paragraph" w:customStyle="1" w:styleId="Default">
    <w:name w:val="Default"/>
    <w:rsid w:val="00FB05A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ind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forma">
    <w:name w:val="forma"/>
    <w:basedOn w:val="a"/>
    <w:uiPriority w:val="99"/>
    <w:semiHidden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a"/>
    <w:uiPriority w:val="99"/>
    <w:semiHidden/>
    <w:pPr>
      <w:jc w:val="center"/>
    </w:pPr>
    <w:rPr>
      <w:b/>
      <w:bCs/>
    </w:rPr>
  </w:style>
  <w:style w:type="paragraph" w:customStyle="1" w:styleId="pb">
    <w:name w:val="pb"/>
    <w:basedOn w:val="a"/>
    <w:uiPriority w:val="99"/>
    <w:semiHidden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a"/>
    <w:uiPriority w:val="99"/>
    <w:semiHidden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uiPriority w:val="99"/>
    <w:semiHidden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a"/>
    <w:uiPriority w:val="99"/>
    <w:semiHidden/>
    <w:pPr>
      <w:jc w:val="center"/>
    </w:pPr>
    <w:rPr>
      <w:b/>
      <w:bCs/>
    </w:rPr>
  </w:style>
  <w:style w:type="paragraph" w:customStyle="1" w:styleId="nt">
    <w:name w:val="nt"/>
    <w:basedOn w:val="a"/>
    <w:uiPriority w:val="99"/>
    <w:semiHidden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uiPriority w:val="99"/>
    <w:semiHidden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a"/>
    <w:uiPriority w:val="99"/>
    <w:semiHidden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a"/>
    <w:uiPriority w:val="99"/>
    <w:semiHidden/>
    <w:pPr>
      <w:jc w:val="center"/>
    </w:pPr>
  </w:style>
  <w:style w:type="paragraph" w:customStyle="1" w:styleId="cb">
    <w:name w:val="cb"/>
    <w:basedOn w:val="a"/>
    <w:uiPriority w:val="99"/>
    <w:semiHidden/>
    <w:pPr>
      <w:jc w:val="center"/>
    </w:pPr>
    <w:rPr>
      <w:b/>
      <w:bCs/>
    </w:rPr>
  </w:style>
  <w:style w:type="paragraph" w:customStyle="1" w:styleId="rg">
    <w:name w:val="rg"/>
    <w:basedOn w:val="a"/>
    <w:uiPriority w:val="99"/>
    <w:semiHidden/>
    <w:pPr>
      <w:jc w:val="right"/>
    </w:pPr>
  </w:style>
  <w:style w:type="paragraph" w:customStyle="1" w:styleId="js">
    <w:name w:val="js"/>
    <w:basedOn w:val="a"/>
    <w:uiPriority w:val="99"/>
    <w:semiHidden/>
    <w:pPr>
      <w:jc w:val="both"/>
    </w:pPr>
  </w:style>
  <w:style w:type="paragraph" w:customStyle="1" w:styleId="lf">
    <w:name w:val="lf"/>
    <w:basedOn w:val="a"/>
    <w:uiPriority w:val="99"/>
    <w:semiHidden/>
  </w:style>
  <w:style w:type="character" w:customStyle="1" w:styleId="TextnBalonCaracter">
    <w:name w:val="Text în Balon Caracter"/>
    <w:basedOn w:val="a0"/>
    <w:link w:val="TextnBalon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TextnBalon">
    <w:name w:val="Text în Balon"/>
    <w:basedOn w:val="a"/>
    <w:link w:val="TextnBalonCaracter"/>
    <w:uiPriority w:val="99"/>
    <w:semiHidden/>
  </w:style>
  <w:style w:type="character" w:styleId="a8">
    <w:name w:val="Placeholder Text"/>
    <w:basedOn w:val="a0"/>
    <w:uiPriority w:val="99"/>
    <w:semiHidden/>
    <w:rPr>
      <w:color w:val="808080"/>
    </w:rPr>
  </w:style>
  <w:style w:type="table" w:customStyle="1" w:styleId="TabelNormal">
    <w:name w:val="Tabel 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E27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72E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2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72E"/>
    <w:rPr>
      <w:rFonts w:eastAsiaTheme="minorEastAsi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E15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5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58B"/>
    <w:rPr>
      <w:rFonts w:eastAsiaTheme="minorEastAsi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5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58B"/>
    <w:rPr>
      <w:rFonts w:eastAsiaTheme="minorEastAsia"/>
      <w:b/>
      <w:bCs/>
    </w:rPr>
  </w:style>
  <w:style w:type="paragraph" w:customStyle="1" w:styleId="Default">
    <w:name w:val="Default"/>
    <w:rsid w:val="00FB05A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Ursu</dc:creator>
  <cp:lastModifiedBy>marcela.mazarenco</cp:lastModifiedBy>
  <cp:revision>2</cp:revision>
  <cp:lastPrinted>2018-02-20T06:46:00Z</cp:lastPrinted>
  <dcterms:created xsi:type="dcterms:W3CDTF">2018-03-15T14:32:00Z</dcterms:created>
  <dcterms:modified xsi:type="dcterms:W3CDTF">2018-03-15T14:32:00Z</dcterms:modified>
</cp:coreProperties>
</file>