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0830">
      <w:pPr>
        <w:pStyle w:val="NormalWeb"/>
      </w:pPr>
    </w:p>
    <w:p w:rsidR="00000000" w:rsidRDefault="008F0830">
      <w:pPr>
        <w:spacing w:after="40"/>
        <w:ind w:left="7027" w:hanging="1073"/>
        <w:jc w:val="both"/>
        <w:rPr>
          <w:rFonts w:eastAsia="Times New Roman"/>
          <w:b/>
          <w:bCs/>
          <w:sz w:val="22"/>
          <w:szCs w:val="22"/>
          <w:lang w:val="ro-RO"/>
        </w:rPr>
      </w:pPr>
      <w:r>
        <w:t> </w:t>
      </w:r>
      <w:r>
        <w:rPr>
          <w:rFonts w:eastAsia="Times New Roman"/>
          <w:b/>
          <w:bCs/>
          <w:sz w:val="22"/>
          <w:szCs w:val="22"/>
          <w:lang w:val="ru-RU"/>
        </w:rPr>
        <w:t>Утверждено</w:t>
      </w:r>
    </w:p>
    <w:p w:rsidR="00000000" w:rsidRDefault="008F0830">
      <w:pPr>
        <w:spacing w:after="40"/>
        <w:ind w:left="6379" w:hanging="425"/>
        <w:jc w:val="both"/>
        <w:rPr>
          <w:rFonts w:eastAsia="Times New Roman"/>
          <w:bCs/>
          <w:sz w:val="22"/>
          <w:szCs w:val="22"/>
          <w:lang w:val="ru-RU"/>
        </w:rPr>
      </w:pPr>
      <w:r>
        <w:rPr>
          <w:rFonts w:eastAsia="Times New Roman"/>
          <w:bCs/>
          <w:sz w:val="22"/>
          <w:szCs w:val="22"/>
          <w:lang w:val="ru-RU"/>
        </w:rPr>
        <w:t>Постановлением</w:t>
      </w:r>
    </w:p>
    <w:p w:rsidR="00000000" w:rsidRDefault="008F0830">
      <w:pPr>
        <w:spacing w:after="40"/>
        <w:ind w:left="5954"/>
        <w:jc w:val="both"/>
        <w:rPr>
          <w:rFonts w:eastAsia="Times New Roman"/>
          <w:bCs/>
          <w:sz w:val="22"/>
          <w:szCs w:val="22"/>
          <w:lang w:val="ru-RU"/>
        </w:rPr>
      </w:pPr>
      <w:r>
        <w:rPr>
          <w:rFonts w:eastAsia="Times New Roman"/>
          <w:bCs/>
          <w:sz w:val="22"/>
          <w:szCs w:val="22"/>
          <w:lang w:val="ru-RU"/>
        </w:rPr>
        <w:t xml:space="preserve">Административного </w:t>
      </w:r>
    </w:p>
    <w:p w:rsidR="00000000" w:rsidRDefault="008F0830">
      <w:pPr>
        <w:spacing w:after="40"/>
        <w:ind w:left="6379" w:hanging="425"/>
        <w:jc w:val="both"/>
        <w:rPr>
          <w:rFonts w:eastAsia="Times New Roman"/>
          <w:bCs/>
          <w:sz w:val="22"/>
          <w:szCs w:val="22"/>
          <w:lang w:val="ru-RU"/>
        </w:rPr>
      </w:pPr>
      <w:r>
        <w:rPr>
          <w:rFonts w:eastAsia="Times New Roman"/>
          <w:bCs/>
          <w:sz w:val="22"/>
          <w:szCs w:val="22"/>
          <w:lang w:val="ru-RU"/>
        </w:rPr>
        <w:t>совета НАРЭ</w:t>
      </w:r>
    </w:p>
    <w:p w:rsidR="00000000" w:rsidRDefault="008F0830">
      <w:pPr>
        <w:spacing w:after="40"/>
        <w:jc w:val="both"/>
        <w:rPr>
          <w:rFonts w:eastAsia="Times New Roman"/>
          <w:bCs/>
          <w:sz w:val="22"/>
          <w:szCs w:val="22"/>
          <w:lang w:val="ru-RU"/>
        </w:rPr>
      </w:pPr>
      <w:r>
        <w:rPr>
          <w:rFonts w:eastAsia="Times New Roman"/>
          <w:bCs/>
          <w:sz w:val="22"/>
          <w:szCs w:val="22"/>
          <w:lang w:val="ru-RU"/>
        </w:rPr>
        <w:t xml:space="preserve">                                                                                                      № </w:t>
      </w:r>
      <w:r w:rsidR="008635A7">
        <w:rPr>
          <w:rFonts w:eastAsia="Times New Roman"/>
          <w:bCs/>
          <w:sz w:val="22"/>
          <w:szCs w:val="22"/>
          <w:lang w:val="ru-RU"/>
        </w:rPr>
        <w:t>65</w:t>
      </w:r>
      <w:r>
        <w:rPr>
          <w:rFonts w:eastAsia="Times New Roman"/>
          <w:bCs/>
          <w:sz w:val="22"/>
          <w:szCs w:val="22"/>
          <w:lang w:val="ru-RU"/>
        </w:rPr>
        <w:t>/2018 от 23.02.2018</w:t>
      </w:r>
    </w:p>
    <w:p w:rsidR="00000000" w:rsidRDefault="008F0830">
      <w:pPr>
        <w:pStyle w:val="NormalWeb"/>
        <w:jc w:val="left"/>
        <w:rPr>
          <w:lang w:val="ru-RU"/>
        </w:rPr>
      </w:pPr>
    </w:p>
    <w:p w:rsidR="00000000" w:rsidRDefault="008F0830">
      <w:pPr>
        <w:pStyle w:val="NormalWeb"/>
        <w:jc w:val="left"/>
        <w:rPr>
          <w:lang w:val="ru-RU"/>
        </w:rPr>
      </w:pP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cb"/>
        <w:rPr>
          <w:lang w:val="ru-RU"/>
        </w:rPr>
      </w:pPr>
      <w:r>
        <w:rPr>
          <w:lang w:val="ru-RU"/>
        </w:rPr>
        <w:t xml:space="preserve">МЕТОДОЛОГИЯ </w:t>
      </w:r>
    </w:p>
    <w:p w:rsidR="00000000" w:rsidRDefault="008F0830">
      <w:pPr>
        <w:pStyle w:val="cb"/>
        <w:rPr>
          <w:lang w:val="ru-RU"/>
        </w:rPr>
      </w:pPr>
      <w:r>
        <w:rPr>
          <w:lang w:val="ru-RU"/>
        </w:rPr>
        <w:t xml:space="preserve">расчета, утверждения и применения регулируемых цен на поставку </w:t>
      </w:r>
    </w:p>
    <w:p w:rsidR="00000000" w:rsidRDefault="008F0830">
      <w:pPr>
        <w:pStyle w:val="cb"/>
        <w:rPr>
          <w:lang w:val="ru-RU"/>
        </w:rPr>
      </w:pPr>
      <w:r>
        <w:rPr>
          <w:lang w:val="ru-RU"/>
        </w:rPr>
        <w:t xml:space="preserve">электроэнергии гарантирующим поставщиком и поставщиком </w:t>
      </w:r>
    </w:p>
    <w:p w:rsidR="00000000" w:rsidRDefault="008F0830">
      <w:pPr>
        <w:pStyle w:val="cb"/>
        <w:rPr>
          <w:lang w:val="ru-RU"/>
        </w:rPr>
      </w:pPr>
      <w:r>
        <w:rPr>
          <w:lang w:val="ru-RU"/>
        </w:rPr>
        <w:t>универсальной услуги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cp"/>
        <w:rPr>
          <w:lang w:val="ru-RU"/>
        </w:rPr>
      </w:pPr>
      <w:r>
        <w:rPr>
          <w:lang w:val="ru-RU"/>
        </w:rPr>
        <w:t>Раздел 1</w:t>
      </w:r>
    </w:p>
    <w:p w:rsidR="00000000" w:rsidRDefault="008F0830">
      <w:pPr>
        <w:pStyle w:val="cp"/>
        <w:rPr>
          <w:lang w:val="ru-RU"/>
        </w:rPr>
      </w:pPr>
      <w:r>
        <w:rPr>
          <w:lang w:val="ru-RU"/>
        </w:rPr>
        <w:t>ОБЩИЕ ПОЛОЖЕНИЯ</w:t>
      </w:r>
    </w:p>
    <w:p w:rsidR="00000000" w:rsidRDefault="008F0830">
      <w:pPr>
        <w:pStyle w:val="NormalWeb"/>
        <w:rPr>
          <w:lang w:val="ru-RU"/>
        </w:rPr>
      </w:pPr>
      <w:r>
        <w:rPr>
          <w:b/>
          <w:bCs/>
          <w:lang w:val="ru-RU"/>
        </w:rPr>
        <w:t>1.</w:t>
      </w:r>
      <w:r>
        <w:rPr>
          <w:lang w:val="ru-RU"/>
        </w:rPr>
        <w:t xml:space="preserve"> Методология расчета, утверждения и применения регулируемых цен на поставку электроэне</w:t>
      </w:r>
      <w:r>
        <w:rPr>
          <w:lang w:val="ru-RU"/>
        </w:rPr>
        <w:t>ргии гарантирующим поставщиком и поставщиком универсальной услуги (далее – Методология) направлена на установление порядка расчета регулируемых цен на поставку электроэнергии поставщиками электроэнергии, на которых возложена обязанность публичной услуги по</w:t>
      </w:r>
      <w:r>
        <w:rPr>
          <w:lang w:val="ru-RU"/>
        </w:rPr>
        <w:t xml:space="preserve"> предоставлению универсальной услуги и/или по обеспечению гарантированной поставки (далее – Поставщики).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NormalWeb"/>
        <w:rPr>
          <w:lang w:val="ru-RU"/>
        </w:rPr>
      </w:pPr>
      <w:r>
        <w:rPr>
          <w:b/>
          <w:bCs/>
          <w:lang w:val="ru-RU"/>
        </w:rPr>
        <w:t>2.</w:t>
      </w:r>
      <w:r>
        <w:rPr>
          <w:lang w:val="ru-RU"/>
        </w:rPr>
        <w:t xml:space="preserve"> Методология устанавливает: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1) принципы и алгоритм расчета регулируемых цен на поставку электроэнергии;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2) способ определения, согласования и утвер</w:t>
      </w:r>
      <w:r>
        <w:rPr>
          <w:lang w:val="ru-RU"/>
        </w:rPr>
        <w:t>ждения регулируемых цен на поставку электроэнергии, дифференцированных по уровням напряжения распределительных электросетей, по которым электроэнергия поставляется конечным потребителям, в зависимости от зоны потребления и способа оплаты за поставляемую эл</w:t>
      </w:r>
      <w:r>
        <w:rPr>
          <w:lang w:val="ru-RU"/>
        </w:rPr>
        <w:t>ектроэнергию конечным потребителям;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3) состав, способ определения и включения в регулируемые цены на поставку электроэнергии затрат и расходов, связанных только с деятельностью по поставке электроэнергии в контексте публичной услуги по оказанию универсальн</w:t>
      </w:r>
      <w:r>
        <w:rPr>
          <w:lang w:val="ru-RU"/>
        </w:rPr>
        <w:t>ой услуги и/или по обеспечению гарантированной поставки;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 xml:space="preserve">4) способ определения стоимости приобретаемой электроэнергии, расходов, связанных с предоставлением Поставщику услуг по передаче и услуг по распределению электроэнергии оператором передающей системы </w:t>
      </w:r>
      <w:r>
        <w:rPr>
          <w:lang w:val="ru-RU"/>
        </w:rPr>
        <w:t>и оператором распределительной системы;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5) способ определения и утверждения затрат и расходов Поставщика, связанных только с деятельностью по поставке электроэнергии на первый, базовый год действия Методологии;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6) способ пересмотра затрат и расходов Поставщика, связанных с деятельностью по поставке электроэнергии, на последующий период после базового года.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cp"/>
        <w:rPr>
          <w:lang w:val="ru-RU"/>
        </w:rPr>
      </w:pPr>
      <w:r>
        <w:rPr>
          <w:lang w:val="ru-RU"/>
        </w:rPr>
        <w:t>Раздел 2</w:t>
      </w:r>
    </w:p>
    <w:p w:rsidR="00000000" w:rsidRDefault="008F0830">
      <w:pPr>
        <w:pStyle w:val="cp"/>
        <w:rPr>
          <w:lang w:val="ru-RU"/>
        </w:rPr>
      </w:pPr>
      <w:r>
        <w:rPr>
          <w:lang w:val="ru-RU"/>
        </w:rPr>
        <w:t>ПРИНЦИПЫ ПРИМЕНЯЕМЫЕ ПРИ ОПРЕДЕЛЕНИИ ЦЕН</w:t>
      </w:r>
    </w:p>
    <w:p w:rsidR="00000000" w:rsidRDefault="008F0830">
      <w:pPr>
        <w:pStyle w:val="NormalWeb"/>
        <w:rPr>
          <w:lang w:val="ru-RU"/>
        </w:rPr>
      </w:pPr>
      <w:r>
        <w:rPr>
          <w:b/>
          <w:bCs/>
          <w:lang w:val="ru-RU"/>
        </w:rPr>
        <w:t>3.</w:t>
      </w:r>
      <w:r>
        <w:rPr>
          <w:lang w:val="ru-RU"/>
        </w:rPr>
        <w:t xml:space="preserve"> Методология основывается на следующих регулирующих пр</w:t>
      </w:r>
      <w:r>
        <w:rPr>
          <w:lang w:val="ru-RU"/>
        </w:rPr>
        <w:t>инципах: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1) бухгалтерское разделение регулируемой деятельности от других видов деятельности, осуществляемых Поставщиком;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2) эффективное функционирование и обеспечение жизнеспособности Поставщика;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lastRenderedPageBreak/>
        <w:t>3) определение реальных затрат на приобретение электроэнерги</w:t>
      </w:r>
      <w:r>
        <w:rPr>
          <w:lang w:val="ru-RU"/>
        </w:rPr>
        <w:t>и, затрат, связанных с предоставлением Поставщику услуг по передаче и услуг по распределению электроэнергии, затрат и расходов, строго необходимых для осуществления регулируемой деятельности по поставке электроэнергии, с исключением из процедуры расчета вс</w:t>
      </w:r>
      <w:r>
        <w:rPr>
          <w:lang w:val="ru-RU"/>
        </w:rPr>
        <w:t>ех экономически неоправданных затрат и расходов и/или ненужных для поставки электроэнергии;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4) осуществление деятельности по поставке электроэнергии в условиях эффективности и надежности;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5) включение в регулируемые цены на поставку электроэнергии только р</w:t>
      </w:r>
      <w:r>
        <w:rPr>
          <w:lang w:val="ru-RU"/>
        </w:rPr>
        <w:t>еальных затрат и расходов, строго необходимых для покупки, передачи, распределения и поставки электроэнергии по электросетям соответствующего уровня напряжения, к которым подключена электроустановка конечного потребителя;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6) устранение перекрестного субсид</w:t>
      </w:r>
      <w:r>
        <w:rPr>
          <w:lang w:val="ru-RU"/>
        </w:rPr>
        <w:t>ирования;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7) прозрачность в процессе регулирования цен.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cp"/>
        <w:rPr>
          <w:lang w:val="ru-RU"/>
        </w:rPr>
      </w:pPr>
      <w:r>
        <w:rPr>
          <w:lang w:val="ru-RU"/>
        </w:rPr>
        <w:t>Раздел 3</w:t>
      </w:r>
    </w:p>
    <w:p w:rsidR="00000000" w:rsidRDefault="008F0830">
      <w:pPr>
        <w:pStyle w:val="cp"/>
        <w:rPr>
          <w:lang w:val="ru-RU"/>
        </w:rPr>
      </w:pPr>
      <w:r>
        <w:rPr>
          <w:lang w:val="ru-RU"/>
        </w:rPr>
        <w:t>РАСЧЕТ ЦЕН</w:t>
      </w:r>
    </w:p>
    <w:p w:rsidR="00000000" w:rsidRDefault="008F0830">
      <w:pPr>
        <w:pStyle w:val="NormalWeb"/>
        <w:rPr>
          <w:lang w:val="ru-RU"/>
        </w:rPr>
      </w:pPr>
      <w:r>
        <w:rPr>
          <w:b/>
          <w:bCs/>
          <w:lang w:val="ru-RU"/>
        </w:rPr>
        <w:t>4.</w:t>
      </w:r>
      <w:r>
        <w:rPr>
          <w:lang w:val="ru-RU"/>
        </w:rPr>
        <w:t xml:space="preserve"> Средняя цена на поставку электроэнергии (</w:t>
      </w:r>
      <w:r>
        <w:rPr>
          <w:lang w:val="ro-MO"/>
        </w:rPr>
        <w:t>PFCmn</w:t>
      </w:r>
      <w:r>
        <w:rPr>
          <w:lang w:val="ru-RU"/>
        </w:rPr>
        <w:t>) всем потребителям, которых обслуживает Поставщик в регулируемом году «</w:t>
      </w:r>
      <w:r>
        <w:t>n</w:t>
      </w:r>
      <w:r>
        <w:rPr>
          <w:lang w:val="ru-RU"/>
        </w:rPr>
        <w:t>», определяется исходя из дохода, который должен получит</w:t>
      </w:r>
      <w:r>
        <w:rPr>
          <w:lang w:val="ru-RU"/>
        </w:rPr>
        <w:t>ь Поставщик для покрытия реальных затрат и расходов, необходимых для поставки электроэнергии и получения разумной прибыли. Таким образом, рассматриваемая цена будет определяться согласно следующей формуле: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cn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Fonts w:ascii="Cambria Math" w:hAnsi="Cambria Math"/>
                  <w:lang w:val="ro-MO"/>
                </w:rPr>
                <m:t>PFC</m:t>
              </m:r>
            </m:e>
            <m:sub>
              <m:r>
                <w:rPr>
                  <w:rFonts w:ascii="Cambria Math" w:hAnsi="Cambria Math"/>
                  <w:lang w:val="ro-MO"/>
                </w:rPr>
                <m:t>mn</m:t>
              </m:r>
            </m:sub>
          </m:sSub>
          <m:r>
            <w:rPr>
              <w:rFonts w:ascii="Cambria Math" w:hAnsi="Cambria Math"/>
              <w:lang w:val="ro-M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o-M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VF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lang w:val="ro-M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o-M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CFT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ro-MO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RF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lang w:val="ro-MO"/>
            </w:rPr>
            <m:t xml:space="preserve">   (1)</m:t>
          </m:r>
        </m:oMath>
      </m:oMathPara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где:</w:t>
      </w:r>
    </w:p>
    <w:p w:rsidR="00000000" w:rsidRDefault="008F0830">
      <w:pPr>
        <w:pStyle w:val="NormalWeb"/>
        <w:rPr>
          <w:lang w:val="ru-RU"/>
        </w:rPr>
      </w:pPr>
      <w:proofErr w:type="spellStart"/>
      <w:proofErr w:type="gramStart"/>
      <w:r>
        <w:rPr>
          <w:i/>
          <w:iCs/>
        </w:rPr>
        <w:t>VF</w:t>
      </w:r>
      <w:r>
        <w:rPr>
          <w:i/>
          <w:iCs/>
          <w:vertAlign w:val="subscript"/>
        </w:rPr>
        <w:t>n</w:t>
      </w:r>
      <w:proofErr w:type="spellEnd"/>
      <w:r>
        <w:rPr>
          <w:lang w:val="ru-RU"/>
        </w:rPr>
        <w:t xml:space="preserve"> – регулируемый доход, который должен получить Поставщик в году «</w:t>
      </w:r>
      <w:r>
        <w:t>n</w:t>
      </w:r>
      <w:r>
        <w:rPr>
          <w:lang w:val="ru-RU"/>
        </w:rPr>
        <w:t>» в результате поставки электроэнергии всем обслуживаемым потребителям, в леях.</w:t>
      </w:r>
      <w:proofErr w:type="gramEnd"/>
      <w:r>
        <w:rPr>
          <w:lang w:val="ru-RU"/>
        </w:rPr>
        <w:t xml:space="preserve"> Поставка электроэнергии может выполняться Поставщиком в пунктах входа в передающие электросети</w:t>
      </w:r>
      <w:r>
        <w:rPr>
          <w:lang w:val="ru-RU"/>
        </w:rPr>
        <w:t xml:space="preserve">, у пунктов выхода из передающих электросетей и у пунктов выхода из распределительных электросетей. Таким образом: 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cn"/>
        <w:rPr>
          <w:lang w:val="ru-RU"/>
        </w:rPr>
      </w:pPr>
      <w:proofErr w:type="spellStart"/>
      <w:r>
        <w:rPr>
          <w:i/>
          <w:iCs/>
        </w:rPr>
        <w:t>VF</w:t>
      </w:r>
      <w:r>
        <w:rPr>
          <w:i/>
          <w:iCs/>
          <w:vertAlign w:val="subscript"/>
        </w:rPr>
        <w:t>n</w:t>
      </w:r>
      <w:proofErr w:type="spellEnd"/>
      <w:r>
        <w:rPr>
          <w:i/>
          <w:iCs/>
          <w:lang w:val="ru-RU"/>
        </w:rPr>
        <w:t xml:space="preserve"> = </w:t>
      </w:r>
      <w:proofErr w:type="spellStart"/>
      <w:r>
        <w:rPr>
          <w:i/>
          <w:iCs/>
        </w:rPr>
        <w:t>VF</w:t>
      </w:r>
      <w:r>
        <w:rPr>
          <w:i/>
          <w:iCs/>
          <w:vertAlign w:val="subscript"/>
        </w:rPr>
        <w:t>not</w:t>
      </w:r>
      <w:proofErr w:type="spellEnd"/>
      <w:r>
        <w:rPr>
          <w:i/>
          <w:iCs/>
          <w:lang w:val="ru-RU"/>
        </w:rPr>
        <w:t xml:space="preserve"> + </w:t>
      </w:r>
      <w:proofErr w:type="spellStart"/>
      <w:r>
        <w:rPr>
          <w:i/>
          <w:iCs/>
        </w:rPr>
        <w:t>VF</w:t>
      </w:r>
      <w:r>
        <w:rPr>
          <w:i/>
          <w:iCs/>
          <w:vertAlign w:val="subscript"/>
        </w:rPr>
        <w:t>ntr</w:t>
      </w:r>
      <w:proofErr w:type="spellEnd"/>
      <w:r>
        <w:rPr>
          <w:i/>
          <w:iCs/>
          <w:lang w:val="ru-RU"/>
        </w:rPr>
        <w:t xml:space="preserve"> + </w:t>
      </w:r>
      <w:proofErr w:type="spellStart"/>
      <w:r>
        <w:rPr>
          <w:i/>
          <w:iCs/>
        </w:rPr>
        <w:t>VF</w:t>
      </w:r>
      <w:r>
        <w:rPr>
          <w:i/>
          <w:iCs/>
          <w:vertAlign w:val="subscript"/>
        </w:rPr>
        <w:t>nd</w:t>
      </w:r>
      <w:proofErr w:type="spellEnd"/>
      <w:proofErr w:type="gramStart"/>
      <w:r>
        <w:rPr>
          <w:b/>
          <w:bCs/>
          <w:vertAlign w:val="subscript"/>
        </w:rPr>
        <w:t> </w:t>
      </w:r>
      <w:r w:rsidRPr="008635A7">
        <w:rPr>
          <w:b/>
          <w:bCs/>
          <w:vertAlign w:val="subscript"/>
          <w:lang w:val="ru-RU"/>
        </w:rPr>
        <w:t xml:space="preserve"> </w:t>
      </w:r>
      <w:r>
        <w:rPr>
          <w:lang w:val="ru-RU"/>
        </w:rPr>
        <w:t>(</w:t>
      </w:r>
      <w:proofErr w:type="gramEnd"/>
      <w:r>
        <w:rPr>
          <w:lang w:val="ru-RU"/>
        </w:rPr>
        <w:t>2)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 xml:space="preserve">где: 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VF</w:t>
      </w:r>
      <w:r>
        <w:rPr>
          <w:i/>
          <w:iCs/>
          <w:vertAlign w:val="subscript"/>
        </w:rPr>
        <w:t>not</w:t>
      </w:r>
      <w:proofErr w:type="spellEnd"/>
      <w:r>
        <w:rPr>
          <w:lang w:val="ru-RU"/>
        </w:rPr>
        <w:t xml:space="preserve"> – доход Поставщика в году «</w:t>
      </w:r>
      <w:r>
        <w:t>n</w:t>
      </w:r>
      <w:r>
        <w:rPr>
          <w:lang w:val="ru-RU"/>
        </w:rPr>
        <w:t>» от поставки электроэнергии в пунктах входа в передающие электрос</w:t>
      </w:r>
      <w:r>
        <w:rPr>
          <w:lang w:val="ru-RU"/>
        </w:rPr>
        <w:t xml:space="preserve">ети, в леях; 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VF</w:t>
      </w:r>
      <w:r>
        <w:rPr>
          <w:i/>
          <w:iCs/>
          <w:vertAlign w:val="subscript"/>
        </w:rPr>
        <w:t>ntr</w:t>
      </w:r>
      <w:proofErr w:type="spellEnd"/>
      <w:r w:rsidRPr="008635A7">
        <w:rPr>
          <w:i/>
          <w:iCs/>
          <w:lang w:val="ru-RU"/>
        </w:rPr>
        <w:t xml:space="preserve"> </w:t>
      </w:r>
      <w:r>
        <w:rPr>
          <w:lang w:val="ru-RU"/>
        </w:rPr>
        <w:t>– доход Поставщика в году «</w:t>
      </w:r>
      <w:r>
        <w:t>n</w:t>
      </w:r>
      <w:r>
        <w:rPr>
          <w:lang w:val="ru-RU"/>
        </w:rPr>
        <w:t>» от поставки электроэнергии потребителям у пунктов выхода из передающих электросетей, электроустановки которых напрямую подключены к передающим электросетям, в леях;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VF</w:t>
      </w:r>
      <w:r>
        <w:rPr>
          <w:i/>
          <w:iCs/>
          <w:vertAlign w:val="subscript"/>
        </w:rPr>
        <w:t>nd</w:t>
      </w:r>
      <w:proofErr w:type="spellEnd"/>
      <w:r>
        <w:rPr>
          <w:lang w:val="ru-RU"/>
        </w:rPr>
        <w:t xml:space="preserve"> – доход Поставщика в году «</w:t>
      </w:r>
      <w:r>
        <w:t>n</w:t>
      </w:r>
      <w:r>
        <w:rPr>
          <w:lang w:val="ru-RU"/>
        </w:rPr>
        <w:t xml:space="preserve">» </w:t>
      </w:r>
      <w:r>
        <w:rPr>
          <w:lang w:val="ru-RU"/>
        </w:rPr>
        <w:t>от поставки электроэнергии потребителям у пунктов выхода из распределительных электросетей, в леях, который определяется согласно формуле: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cn"/>
        <w:rPr>
          <w:lang w:val="ru-RU"/>
        </w:rPr>
      </w:pPr>
      <w:proofErr w:type="spellStart"/>
      <w:r>
        <w:rPr>
          <w:i/>
          <w:iCs/>
        </w:rPr>
        <w:t>VF</w:t>
      </w:r>
      <w:r>
        <w:rPr>
          <w:i/>
          <w:iCs/>
          <w:vertAlign w:val="subscript"/>
        </w:rPr>
        <w:t>nd</w:t>
      </w:r>
      <w:proofErr w:type="spellEnd"/>
      <w:r>
        <w:rPr>
          <w:i/>
          <w:iCs/>
          <w:lang w:val="ru-RU"/>
        </w:rPr>
        <w:t xml:space="preserve"> = </w:t>
      </w:r>
      <w:proofErr w:type="spellStart"/>
      <w:r>
        <w:rPr>
          <w:i/>
          <w:iCs/>
        </w:rPr>
        <w:t>VF</w:t>
      </w:r>
      <w:r>
        <w:rPr>
          <w:i/>
          <w:iCs/>
          <w:vertAlign w:val="subscript"/>
        </w:rPr>
        <w:t>nit</w:t>
      </w:r>
      <w:proofErr w:type="spellEnd"/>
      <w:r>
        <w:rPr>
          <w:i/>
          <w:iCs/>
          <w:lang w:val="ru-RU"/>
        </w:rPr>
        <w:t xml:space="preserve"> + </w:t>
      </w:r>
      <w:proofErr w:type="spellStart"/>
      <w:r>
        <w:rPr>
          <w:i/>
          <w:iCs/>
        </w:rPr>
        <w:t>VF</w:t>
      </w:r>
      <w:r>
        <w:rPr>
          <w:i/>
          <w:iCs/>
          <w:vertAlign w:val="subscript"/>
        </w:rPr>
        <w:t>nmt</w:t>
      </w:r>
      <w:proofErr w:type="spellEnd"/>
      <w:r>
        <w:rPr>
          <w:i/>
          <w:iCs/>
          <w:lang w:val="ru-RU"/>
        </w:rPr>
        <w:t xml:space="preserve"> + </w:t>
      </w:r>
      <w:proofErr w:type="spellStart"/>
      <w:r>
        <w:rPr>
          <w:i/>
          <w:iCs/>
        </w:rPr>
        <w:t>VF</w:t>
      </w:r>
      <w:r>
        <w:rPr>
          <w:i/>
          <w:iCs/>
          <w:vertAlign w:val="subscript"/>
        </w:rPr>
        <w:t>njt</w:t>
      </w:r>
      <w:proofErr w:type="spellEnd"/>
      <w:proofErr w:type="gramStart"/>
      <w:r>
        <w:t> </w:t>
      </w:r>
      <w:r>
        <w:rPr>
          <w:lang w:val="ru-RU"/>
        </w:rPr>
        <w:t xml:space="preserve"> (</w:t>
      </w:r>
      <w:proofErr w:type="gramEnd"/>
      <w:r>
        <w:rPr>
          <w:lang w:val="ru-RU"/>
        </w:rPr>
        <w:t>3)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 xml:space="preserve">где: 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VF</w:t>
      </w:r>
      <w:r>
        <w:rPr>
          <w:i/>
          <w:iCs/>
          <w:vertAlign w:val="subscript"/>
        </w:rPr>
        <w:t>nit</w:t>
      </w:r>
      <w:proofErr w:type="spellEnd"/>
      <w:r w:rsidRPr="008635A7">
        <w:rPr>
          <w:lang w:val="ru-RU"/>
        </w:rPr>
        <w:t xml:space="preserve"> </w:t>
      </w:r>
      <w:r>
        <w:rPr>
          <w:lang w:val="ru-RU"/>
        </w:rPr>
        <w:t>– доход от поставки электроэнергии конечным потребителям в году «</w:t>
      </w:r>
      <w:r>
        <w:t>n</w:t>
      </w:r>
      <w:r>
        <w:rPr>
          <w:lang w:val="ru-RU"/>
        </w:rPr>
        <w:t xml:space="preserve">», </w:t>
      </w:r>
      <w:r>
        <w:rPr>
          <w:lang w:val="ru-RU"/>
        </w:rPr>
        <w:t>электроустановки которых подключены к распределительным электросетям высокого напряжения, в леях;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VF</w:t>
      </w:r>
      <w:r>
        <w:rPr>
          <w:i/>
          <w:iCs/>
          <w:vertAlign w:val="subscript"/>
        </w:rPr>
        <w:t>nmt</w:t>
      </w:r>
      <w:proofErr w:type="spellEnd"/>
      <w:r>
        <w:rPr>
          <w:lang w:val="ru-RU"/>
        </w:rPr>
        <w:t xml:space="preserve"> – доход от поставки электроэнергии конечным потребителям в году «</w:t>
      </w:r>
      <w:r>
        <w:t>n</w:t>
      </w:r>
      <w:r>
        <w:rPr>
          <w:lang w:val="ru-RU"/>
        </w:rPr>
        <w:t>», электроустановки которых подключены к распределительным электросетям среднего напря</w:t>
      </w:r>
      <w:r>
        <w:rPr>
          <w:lang w:val="ru-RU"/>
        </w:rPr>
        <w:t>жения, в леях;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lastRenderedPageBreak/>
        <w:t>VF</w:t>
      </w:r>
      <w:r>
        <w:rPr>
          <w:i/>
          <w:iCs/>
          <w:vertAlign w:val="subscript"/>
        </w:rPr>
        <w:t>njt</w:t>
      </w:r>
      <w:proofErr w:type="spellEnd"/>
      <w:r>
        <w:rPr>
          <w:lang w:val="ru-RU"/>
        </w:rPr>
        <w:t xml:space="preserve"> – доход от поставки электроэнергии конечным потребителям в году «</w:t>
      </w:r>
      <w:r>
        <w:t>n</w:t>
      </w:r>
      <w:r>
        <w:rPr>
          <w:lang w:val="ru-RU"/>
        </w:rPr>
        <w:t>», электроустановки которых подключены к распределительным электросетям низкого напряжения, в леях;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CFT</w:t>
      </w:r>
      <w:r>
        <w:rPr>
          <w:i/>
          <w:iCs/>
          <w:vertAlign w:val="subscript"/>
        </w:rPr>
        <w:t>n</w:t>
      </w:r>
      <w:proofErr w:type="spellEnd"/>
      <w:r>
        <w:rPr>
          <w:lang w:val="ru-RU"/>
        </w:rPr>
        <w:t xml:space="preserve"> – общие затраты и расходы Поставщика, связанные с поставкой элек</w:t>
      </w:r>
      <w:r>
        <w:rPr>
          <w:lang w:val="ru-RU"/>
        </w:rPr>
        <w:t>троэнергии, которые определяются согласно формуле: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cn"/>
      </w:pPr>
      <w:proofErr w:type="spellStart"/>
      <w:r>
        <w:rPr>
          <w:i/>
          <w:iCs/>
        </w:rPr>
        <w:t>CFT</w:t>
      </w:r>
      <w:r>
        <w:rPr>
          <w:i/>
          <w:iCs/>
          <w:vertAlign w:val="subscript"/>
        </w:rPr>
        <w:t>n</w:t>
      </w:r>
      <w:proofErr w:type="spellEnd"/>
      <w:r>
        <w:rPr>
          <w:i/>
          <w:iCs/>
        </w:rPr>
        <w:t xml:space="preserve"> = </w:t>
      </w:r>
      <w:proofErr w:type="spellStart"/>
      <w:r>
        <w:rPr>
          <w:i/>
          <w:iCs/>
        </w:rPr>
        <w:t>CEP</w:t>
      </w:r>
      <w:r>
        <w:rPr>
          <w:i/>
          <w:iCs/>
          <w:vertAlign w:val="subscript"/>
        </w:rPr>
        <w:t>n</w:t>
      </w:r>
      <w:proofErr w:type="spellEnd"/>
      <w:r>
        <w:rPr>
          <w:i/>
          <w:iCs/>
        </w:rPr>
        <w:t xml:space="preserve"> + </w:t>
      </w:r>
      <w:proofErr w:type="spellStart"/>
      <w:r>
        <w:rPr>
          <w:i/>
          <w:iCs/>
        </w:rPr>
        <w:t>CST</w:t>
      </w:r>
      <w:r>
        <w:rPr>
          <w:i/>
          <w:iCs/>
          <w:vertAlign w:val="subscript"/>
        </w:rPr>
        <w:t>n</w:t>
      </w:r>
      <w:proofErr w:type="spellEnd"/>
      <w:r>
        <w:rPr>
          <w:i/>
          <w:iCs/>
        </w:rPr>
        <w:t xml:space="preserve"> + </w:t>
      </w:r>
      <w:proofErr w:type="spellStart"/>
      <w:r>
        <w:rPr>
          <w:i/>
          <w:iCs/>
        </w:rPr>
        <w:t>CSD</w:t>
      </w:r>
      <w:r>
        <w:rPr>
          <w:i/>
          <w:iCs/>
          <w:vertAlign w:val="subscript"/>
        </w:rPr>
        <w:t>n</w:t>
      </w:r>
      <w:proofErr w:type="spellEnd"/>
      <w:r>
        <w:rPr>
          <w:i/>
          <w:iCs/>
        </w:rPr>
        <w:t xml:space="preserve"> + </w:t>
      </w:r>
      <w:proofErr w:type="spellStart"/>
      <w:r>
        <w:rPr>
          <w:i/>
          <w:iCs/>
        </w:rPr>
        <w:t>CSF</w:t>
      </w:r>
      <w:r>
        <w:rPr>
          <w:i/>
          <w:iCs/>
          <w:vertAlign w:val="subscript"/>
        </w:rPr>
        <w:t>n</w:t>
      </w:r>
      <w:proofErr w:type="spellEnd"/>
      <w:r>
        <w:rPr>
          <w:i/>
          <w:iCs/>
        </w:rPr>
        <w:t xml:space="preserve"> – Dev</w:t>
      </w:r>
      <w:r>
        <w:rPr>
          <w:i/>
          <w:iCs/>
          <w:vertAlign w:val="subscript"/>
        </w:rPr>
        <w:t>n-1</w:t>
      </w:r>
      <w:r>
        <w:t xml:space="preserve"> (4)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 xml:space="preserve">где: 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CEP</w:t>
      </w:r>
      <w:r>
        <w:rPr>
          <w:i/>
          <w:iCs/>
          <w:vertAlign w:val="subscript"/>
        </w:rPr>
        <w:t>n</w:t>
      </w:r>
      <w:proofErr w:type="spellEnd"/>
      <w:r>
        <w:rPr>
          <w:lang w:val="ru-RU"/>
        </w:rPr>
        <w:t xml:space="preserve"> – стоимость электроэнергии, приобретенной Поставщиком в году «</w:t>
      </w:r>
      <w:r>
        <w:t>n</w:t>
      </w:r>
      <w:r>
        <w:rPr>
          <w:lang w:val="ru-RU"/>
        </w:rPr>
        <w:t>», для ее поставки всем потребителям, в леях;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CST</w:t>
      </w:r>
      <w:r>
        <w:rPr>
          <w:i/>
          <w:iCs/>
          <w:vertAlign w:val="subscript"/>
        </w:rPr>
        <w:t>n</w:t>
      </w:r>
      <w:proofErr w:type="spellEnd"/>
      <w:r>
        <w:rPr>
          <w:lang w:val="ru-RU"/>
        </w:rPr>
        <w:t xml:space="preserve"> – расходы, понесенные Поставщико</w:t>
      </w:r>
      <w:r>
        <w:rPr>
          <w:lang w:val="ru-RU"/>
        </w:rPr>
        <w:t>м в году «</w:t>
      </w:r>
      <w:r>
        <w:t>n</w:t>
      </w:r>
      <w:r>
        <w:rPr>
          <w:lang w:val="ru-RU"/>
        </w:rPr>
        <w:t xml:space="preserve">», за услуги по передаче электроэнергии, предоставленные ему через передающие электросети оператором передающей системы, в леях; 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CSD</w:t>
      </w:r>
      <w:r>
        <w:rPr>
          <w:i/>
          <w:iCs/>
          <w:vertAlign w:val="subscript"/>
        </w:rPr>
        <w:t>n</w:t>
      </w:r>
      <w:proofErr w:type="spellEnd"/>
      <w:r>
        <w:rPr>
          <w:lang w:val="ru-RU"/>
        </w:rPr>
        <w:t xml:space="preserve"> – расходы, понесенные Поставщиком в году «</w:t>
      </w:r>
      <w:r>
        <w:t>n</w:t>
      </w:r>
      <w:r>
        <w:rPr>
          <w:lang w:val="ru-RU"/>
        </w:rPr>
        <w:t>», за услуги по распределению электроэнергии, предоставленные Поста</w:t>
      </w:r>
      <w:r>
        <w:rPr>
          <w:lang w:val="ru-RU"/>
        </w:rPr>
        <w:t>вщику оператором распределительной системы, в леях;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CSF</w:t>
      </w:r>
      <w:r>
        <w:rPr>
          <w:i/>
          <w:iCs/>
          <w:vertAlign w:val="subscript"/>
        </w:rPr>
        <w:t>n</w:t>
      </w:r>
      <w:proofErr w:type="spellEnd"/>
      <w:r>
        <w:rPr>
          <w:lang w:val="ru-RU"/>
        </w:rPr>
        <w:t xml:space="preserve"> – общие расходы и затраты Поставщика, необходимые для осуществления деятельности по поставке электроэнергии в году «</w:t>
      </w:r>
      <w:r>
        <w:t>n</w:t>
      </w:r>
      <w:r>
        <w:rPr>
          <w:lang w:val="ru-RU"/>
        </w:rPr>
        <w:t>», в леях;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Dev</w:t>
      </w:r>
      <w:r>
        <w:rPr>
          <w:i/>
          <w:iCs/>
          <w:vertAlign w:val="subscript"/>
        </w:rPr>
        <w:t>n</w:t>
      </w:r>
      <w:proofErr w:type="spellEnd"/>
      <w:r>
        <w:rPr>
          <w:i/>
          <w:iCs/>
          <w:vertAlign w:val="subscript"/>
          <w:lang w:val="ru-RU"/>
        </w:rPr>
        <w:t>-1</w:t>
      </w:r>
      <w:r>
        <w:rPr>
          <w:lang w:val="ru-RU"/>
        </w:rPr>
        <w:t xml:space="preserve"> – составляющая, которая примет во внимание тарифные отклонения П</w:t>
      </w:r>
      <w:r>
        <w:rPr>
          <w:lang w:val="ru-RU"/>
        </w:rPr>
        <w:t>оставщика, положительные (+) или отрицательные (-), образованные в году «</w:t>
      </w:r>
      <w:r>
        <w:t>n</w:t>
      </w:r>
      <w:r>
        <w:rPr>
          <w:lang w:val="ru-RU"/>
        </w:rPr>
        <w:t>-1» (предыдущий период регулирования), которые необходимо включить в расчеты регулируемых цен на год «</w:t>
      </w:r>
      <w:r>
        <w:t>n</w:t>
      </w:r>
      <w:r>
        <w:rPr>
          <w:lang w:val="ru-RU"/>
        </w:rPr>
        <w:t>» (период, для которого устанавливаются регулируемые цены). Эти отклонения могу</w:t>
      </w:r>
      <w:r>
        <w:rPr>
          <w:lang w:val="ru-RU"/>
        </w:rPr>
        <w:t>т возникнуть в результате разницы между прогнозными параметрами при установлении тарифов в году «</w:t>
      </w:r>
      <w:r>
        <w:t>n</w:t>
      </w:r>
      <w:r>
        <w:rPr>
          <w:lang w:val="ru-RU"/>
        </w:rPr>
        <w:t>-1» и реально полученными в году «</w:t>
      </w:r>
      <w:r>
        <w:t>n</w:t>
      </w:r>
      <w:r>
        <w:rPr>
          <w:lang w:val="ru-RU"/>
        </w:rPr>
        <w:t>-1», в леях;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RF</w:t>
      </w:r>
      <w:r>
        <w:rPr>
          <w:i/>
          <w:iCs/>
          <w:vertAlign w:val="subscript"/>
        </w:rPr>
        <w:t>n</w:t>
      </w:r>
      <w:proofErr w:type="spellEnd"/>
      <w:r>
        <w:rPr>
          <w:lang w:val="ru-RU"/>
        </w:rPr>
        <w:t xml:space="preserve"> – регулируемая прибыль, которую необходимо получить Поставщику в году «</w:t>
      </w:r>
      <w:r>
        <w:t>n</w:t>
      </w:r>
      <w:r>
        <w:rPr>
          <w:lang w:val="ru-RU"/>
        </w:rPr>
        <w:t>» от поставки электроэнергии, кото</w:t>
      </w:r>
      <w:r>
        <w:rPr>
          <w:lang w:val="ru-RU"/>
        </w:rPr>
        <w:t>рая определяетсясогластно формуле:</w:t>
      </w:r>
    </w:p>
    <w:p w:rsidR="00000000" w:rsidRDefault="008F0830">
      <w:pPr>
        <w:pStyle w:val="NormalWeb"/>
        <w:spacing w:before="120"/>
        <w:jc w:val="center"/>
        <w:rPr>
          <w:iCs/>
          <w:lang w:val="ro-MO"/>
        </w:rPr>
      </w:pPr>
      <w:r>
        <w:rPr>
          <w:i/>
          <w:iCs/>
          <w:lang w:val="ro-MO"/>
        </w:rPr>
        <w:t>RF</w:t>
      </w:r>
      <w:r>
        <w:rPr>
          <w:i/>
          <w:iCs/>
          <w:vertAlign w:val="subscript"/>
          <w:lang w:val="ro-MO"/>
        </w:rPr>
        <w:t>n</w:t>
      </w:r>
      <w:r>
        <w:rPr>
          <w:i/>
          <w:iCs/>
          <w:lang w:val="ro-MO"/>
        </w:rPr>
        <w:t>=(CEPn + CSTn + CSDn + CSFn )×R</w:t>
      </w:r>
      <w:r>
        <w:rPr>
          <w:i/>
          <w:iCs/>
          <w:vertAlign w:val="subscript"/>
          <w:lang w:val="ro-MO"/>
        </w:rPr>
        <w:t>%</w:t>
      </w:r>
      <w:r>
        <w:rPr>
          <w:iCs/>
          <w:lang w:val="ro-MO"/>
        </w:rPr>
        <w:t xml:space="preserve"> (5)</w:t>
      </w:r>
    </w:p>
    <w:p w:rsidR="00000000" w:rsidRDefault="008F0830">
      <w:pPr>
        <w:pStyle w:val="NormalWeb"/>
        <w:spacing w:before="120"/>
        <w:jc w:val="left"/>
        <w:rPr>
          <w:lang w:val="ru-RU"/>
        </w:rPr>
      </w:pPr>
      <w:r>
        <w:rPr>
          <w:lang w:val="ru-RU"/>
        </w:rPr>
        <w:t>где:</w:t>
      </w:r>
    </w:p>
    <w:p w:rsidR="00000000" w:rsidRDefault="008F0830">
      <w:pPr>
        <w:pStyle w:val="NormalWeb"/>
        <w:spacing w:before="120"/>
        <w:jc w:val="left"/>
        <w:rPr>
          <w:lang w:val="ru-RU"/>
        </w:rPr>
      </w:pPr>
      <w:r>
        <w:rPr>
          <w:i/>
          <w:iCs/>
          <w:lang w:val="ro-MO"/>
        </w:rPr>
        <w:t>R</w:t>
      </w:r>
      <w:r>
        <w:rPr>
          <w:i/>
          <w:iCs/>
          <w:vertAlign w:val="subscript"/>
          <w:lang w:val="ro-MO"/>
        </w:rPr>
        <w:t>%</w:t>
      </w:r>
      <w:r>
        <w:rPr>
          <w:lang w:val="ro-MO"/>
        </w:rPr>
        <w:t xml:space="preserve"> – </w:t>
      </w:r>
      <w:r>
        <w:rPr>
          <w:lang w:val="ru-RU"/>
        </w:rPr>
        <w:t>регулируемый уровень рентабельности</w:t>
      </w:r>
      <w:r>
        <w:rPr>
          <w:lang w:val="ro-MO"/>
        </w:rPr>
        <w:t xml:space="preserve"> </w:t>
      </w:r>
      <w:r>
        <w:rPr>
          <w:lang w:val="ru-RU"/>
        </w:rPr>
        <w:t>для регулируемой деятельности по поставке электроэнергии</w:t>
      </w:r>
      <w:r>
        <w:rPr>
          <w:lang w:val="ro-MO"/>
        </w:rPr>
        <w:t xml:space="preserve">, </w:t>
      </w:r>
      <w:r>
        <w:rPr>
          <w:lang w:val="ru-RU"/>
        </w:rPr>
        <w:t>установленная на уровне</w:t>
      </w:r>
      <w:r>
        <w:rPr>
          <w:lang w:val="ro-MO"/>
        </w:rPr>
        <w:t xml:space="preserve"> 1,0 %, </w:t>
      </w:r>
      <w:r>
        <w:rPr>
          <w:lang w:val="ru-RU"/>
        </w:rPr>
        <w:t xml:space="preserve">постоянный </w:t>
      </w:r>
      <w:r>
        <w:rPr>
          <w:lang w:val="ro-MO"/>
        </w:rPr>
        <w:t xml:space="preserve"> </w:t>
      </w:r>
      <w:r>
        <w:rPr>
          <w:lang w:val="ru-RU"/>
        </w:rPr>
        <w:t xml:space="preserve">на </w:t>
      </w:r>
      <w:r>
        <w:rPr>
          <w:lang w:val="ru-RU"/>
        </w:rPr>
        <w:t>весь период применения методологии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EFC</w:t>
      </w:r>
      <w:r>
        <w:rPr>
          <w:i/>
          <w:iCs/>
          <w:vertAlign w:val="subscript"/>
        </w:rPr>
        <w:t>n</w:t>
      </w:r>
      <w:proofErr w:type="spellEnd"/>
      <w:r>
        <w:rPr>
          <w:lang w:val="ru-RU"/>
        </w:rPr>
        <w:t xml:space="preserve"> – количество электроэнергии, поставленной в году «</w:t>
      </w:r>
      <w:r>
        <w:t>n</w:t>
      </w:r>
      <w:r>
        <w:rPr>
          <w:lang w:val="ru-RU"/>
        </w:rPr>
        <w:t>» всем потребителям, обслуживаемым Поставщиком, определяемое согласно формуле: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cn"/>
        <w:rPr>
          <w:lang w:val="ru-RU"/>
        </w:rPr>
      </w:pPr>
      <w:proofErr w:type="spellStart"/>
      <w:r>
        <w:rPr>
          <w:i/>
          <w:iCs/>
        </w:rPr>
        <w:t>EFC</w:t>
      </w:r>
      <w:r>
        <w:rPr>
          <w:i/>
          <w:iCs/>
          <w:vertAlign w:val="subscript"/>
        </w:rPr>
        <w:t>n</w:t>
      </w:r>
      <w:proofErr w:type="spellEnd"/>
      <w:r>
        <w:rPr>
          <w:i/>
          <w:iCs/>
          <w:lang w:val="ru-RU"/>
        </w:rPr>
        <w:t xml:space="preserve"> = </w:t>
      </w:r>
      <w:proofErr w:type="spellStart"/>
      <w:r>
        <w:rPr>
          <w:i/>
          <w:iCs/>
        </w:rPr>
        <w:t>EFC</w:t>
      </w:r>
      <w:r>
        <w:rPr>
          <w:i/>
          <w:iCs/>
          <w:vertAlign w:val="subscript"/>
        </w:rPr>
        <w:t>not</w:t>
      </w:r>
      <w:proofErr w:type="spellEnd"/>
      <w:r>
        <w:rPr>
          <w:i/>
          <w:iCs/>
          <w:lang w:val="ru-RU"/>
        </w:rPr>
        <w:t xml:space="preserve"> + </w:t>
      </w:r>
      <w:proofErr w:type="spellStart"/>
      <w:r>
        <w:rPr>
          <w:i/>
          <w:iCs/>
        </w:rPr>
        <w:t>EFC</w:t>
      </w:r>
      <w:r>
        <w:rPr>
          <w:i/>
          <w:iCs/>
          <w:vertAlign w:val="subscript"/>
        </w:rPr>
        <w:t>ntr</w:t>
      </w:r>
      <w:proofErr w:type="spellEnd"/>
      <w:r>
        <w:rPr>
          <w:i/>
          <w:iCs/>
          <w:lang w:val="ru-RU"/>
        </w:rPr>
        <w:t xml:space="preserve"> + </w:t>
      </w:r>
      <w:proofErr w:type="spellStart"/>
      <w:r>
        <w:rPr>
          <w:i/>
          <w:iCs/>
        </w:rPr>
        <w:t>EFC</w:t>
      </w:r>
      <w:r>
        <w:rPr>
          <w:i/>
          <w:iCs/>
          <w:vertAlign w:val="subscript"/>
        </w:rPr>
        <w:t>ndr</w:t>
      </w:r>
      <w:proofErr w:type="spellEnd"/>
      <w:proofErr w:type="gramStart"/>
      <w:r>
        <w:t> </w:t>
      </w:r>
      <w:r>
        <w:rPr>
          <w:lang w:val="ru-RU"/>
        </w:rPr>
        <w:t xml:space="preserve"> (</w:t>
      </w:r>
      <w:proofErr w:type="gramEnd"/>
      <w:r>
        <w:rPr>
          <w:lang w:val="ru-RU"/>
        </w:rPr>
        <w:t>6)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где: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EFC</w:t>
      </w:r>
      <w:r>
        <w:rPr>
          <w:i/>
          <w:iCs/>
          <w:vertAlign w:val="subscript"/>
        </w:rPr>
        <w:t>not</w:t>
      </w:r>
      <w:proofErr w:type="spellEnd"/>
      <w:r>
        <w:rPr>
          <w:lang w:val="ru-RU"/>
        </w:rPr>
        <w:t xml:space="preserve"> – количество электроэнергии, постав</w:t>
      </w:r>
      <w:r>
        <w:rPr>
          <w:lang w:val="ru-RU"/>
        </w:rPr>
        <w:t>ляемой Поставщиком в году «</w:t>
      </w:r>
      <w:r>
        <w:t>n</w:t>
      </w:r>
      <w:r>
        <w:rPr>
          <w:lang w:val="ru-RU"/>
        </w:rPr>
        <w:t>», в пунктах входа в передающие электросети оператора передающей системы,</w:t>
      </w:r>
      <w:r>
        <w:rPr>
          <w:lang w:val="ro-MO"/>
        </w:rPr>
        <w:t xml:space="preserve"> </w:t>
      </w:r>
      <w:r>
        <w:rPr>
          <w:lang w:val="ru-RU"/>
        </w:rPr>
        <w:t>кВт</w:t>
      </w:r>
      <w:r>
        <w:rPr>
          <w:vertAlign w:val="superscript"/>
          <w:lang w:val="ru-RU"/>
        </w:rPr>
        <w:t>.</w:t>
      </w:r>
      <w:r>
        <w:rPr>
          <w:lang w:val="ru-RU"/>
        </w:rPr>
        <w:t>ч;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EFC</w:t>
      </w:r>
      <w:r>
        <w:rPr>
          <w:i/>
          <w:iCs/>
          <w:vertAlign w:val="subscript"/>
        </w:rPr>
        <w:t>ntr</w:t>
      </w:r>
      <w:proofErr w:type="spellEnd"/>
      <w:r>
        <w:rPr>
          <w:lang w:val="ru-RU"/>
        </w:rPr>
        <w:t xml:space="preserve"> – количество электроэнергии, поставляемой в году «</w:t>
      </w:r>
      <w:r>
        <w:t>n</w:t>
      </w:r>
      <w:r>
        <w:rPr>
          <w:lang w:val="ru-RU"/>
        </w:rPr>
        <w:t>», у пунктов выхода из передающих электросетей оператора передающей системы,</w:t>
      </w:r>
      <w:r>
        <w:rPr>
          <w:lang w:val="ro-MO"/>
        </w:rPr>
        <w:t xml:space="preserve"> </w:t>
      </w:r>
      <w:r>
        <w:rPr>
          <w:lang w:val="ru-RU"/>
        </w:rPr>
        <w:t>кВт</w:t>
      </w:r>
      <w:r>
        <w:rPr>
          <w:vertAlign w:val="superscript"/>
          <w:lang w:val="ru-RU"/>
        </w:rPr>
        <w:t>.</w:t>
      </w:r>
      <w:r>
        <w:rPr>
          <w:lang w:val="ru-RU"/>
        </w:rPr>
        <w:t>ч;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EFC</w:t>
      </w:r>
      <w:r>
        <w:rPr>
          <w:i/>
          <w:iCs/>
          <w:vertAlign w:val="subscript"/>
        </w:rPr>
        <w:t>nd</w:t>
      </w:r>
      <w:r>
        <w:rPr>
          <w:i/>
          <w:iCs/>
          <w:vertAlign w:val="subscript"/>
        </w:rPr>
        <w:t>r</w:t>
      </w:r>
      <w:proofErr w:type="spellEnd"/>
      <w:r>
        <w:rPr>
          <w:lang w:val="ru-RU"/>
        </w:rPr>
        <w:t xml:space="preserve"> – количество электроэнергии, поставляемой у пунктов выхода из распределительных электросетей, которое определяется согласно формуле,</w:t>
      </w:r>
      <w:r>
        <w:rPr>
          <w:lang w:val="ro-MO"/>
        </w:rPr>
        <w:t xml:space="preserve"> </w:t>
      </w:r>
      <w:r>
        <w:rPr>
          <w:lang w:val="ru-RU"/>
        </w:rPr>
        <w:t>кВт</w:t>
      </w:r>
      <w:r>
        <w:rPr>
          <w:vertAlign w:val="superscript"/>
          <w:lang w:val="ru-RU"/>
        </w:rPr>
        <w:t>.</w:t>
      </w:r>
      <w:r>
        <w:rPr>
          <w:lang w:val="ru-RU"/>
        </w:rPr>
        <w:t>ч: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cn"/>
        <w:rPr>
          <w:lang w:val="ru-RU"/>
        </w:rPr>
      </w:pPr>
      <w:proofErr w:type="spellStart"/>
      <w:r>
        <w:rPr>
          <w:i/>
          <w:iCs/>
        </w:rPr>
        <w:t>EFC</w:t>
      </w:r>
      <w:r>
        <w:rPr>
          <w:i/>
          <w:iCs/>
          <w:vertAlign w:val="subscript"/>
        </w:rPr>
        <w:t>ndr</w:t>
      </w:r>
      <w:proofErr w:type="spellEnd"/>
      <w:r>
        <w:rPr>
          <w:i/>
          <w:iCs/>
          <w:lang w:val="ru-RU"/>
        </w:rPr>
        <w:t xml:space="preserve"> = </w:t>
      </w:r>
      <w:proofErr w:type="spellStart"/>
      <w:r>
        <w:rPr>
          <w:i/>
          <w:iCs/>
        </w:rPr>
        <w:t>EFC</w:t>
      </w:r>
      <w:r>
        <w:rPr>
          <w:i/>
          <w:iCs/>
          <w:vertAlign w:val="subscript"/>
        </w:rPr>
        <w:t>nit</w:t>
      </w:r>
      <w:proofErr w:type="spellEnd"/>
      <w:r>
        <w:rPr>
          <w:i/>
          <w:iCs/>
          <w:lang w:val="ru-RU"/>
        </w:rPr>
        <w:t xml:space="preserve"> + </w:t>
      </w:r>
      <w:proofErr w:type="spellStart"/>
      <w:r>
        <w:rPr>
          <w:i/>
          <w:iCs/>
        </w:rPr>
        <w:t>EFC</w:t>
      </w:r>
      <w:r>
        <w:rPr>
          <w:i/>
          <w:iCs/>
          <w:vertAlign w:val="subscript"/>
        </w:rPr>
        <w:t>nmt</w:t>
      </w:r>
      <w:proofErr w:type="spellEnd"/>
      <w:r>
        <w:rPr>
          <w:i/>
          <w:iCs/>
          <w:lang w:val="ru-RU"/>
        </w:rPr>
        <w:t xml:space="preserve"> + </w:t>
      </w:r>
      <w:proofErr w:type="spellStart"/>
      <w:r>
        <w:rPr>
          <w:i/>
          <w:iCs/>
        </w:rPr>
        <w:t>EFC</w:t>
      </w:r>
      <w:r>
        <w:rPr>
          <w:i/>
          <w:iCs/>
          <w:vertAlign w:val="subscript"/>
        </w:rPr>
        <w:t>njt</w:t>
      </w:r>
      <w:proofErr w:type="spellEnd"/>
      <w:proofErr w:type="gramStart"/>
      <w:r>
        <w:t> </w:t>
      </w:r>
      <w:r>
        <w:rPr>
          <w:lang w:val="ru-RU"/>
        </w:rPr>
        <w:t xml:space="preserve"> (</w:t>
      </w:r>
      <w:proofErr w:type="gramEnd"/>
      <w:r>
        <w:rPr>
          <w:lang w:val="ru-RU"/>
        </w:rPr>
        <w:t xml:space="preserve">7) 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 xml:space="preserve">где: 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EFC</w:t>
      </w:r>
      <w:r>
        <w:rPr>
          <w:i/>
          <w:iCs/>
          <w:vertAlign w:val="subscript"/>
        </w:rPr>
        <w:t>nit</w:t>
      </w:r>
      <w:proofErr w:type="spellEnd"/>
      <w:r w:rsidRPr="008635A7">
        <w:rPr>
          <w:lang w:val="ru-RU"/>
        </w:rPr>
        <w:t xml:space="preserve"> </w:t>
      </w:r>
      <w:r>
        <w:rPr>
          <w:lang w:val="ru-RU"/>
        </w:rPr>
        <w:t>– количество электроэнергии, поставляемой в году «</w:t>
      </w:r>
      <w:r>
        <w:t>n</w:t>
      </w:r>
      <w:r>
        <w:rPr>
          <w:lang w:val="ru-RU"/>
        </w:rPr>
        <w:t>» конечным потребителям, электроустановки которых подключены к распределительным электросетям высокого напряжения (</w:t>
      </w:r>
      <w:r>
        <w:t>IT</w:t>
      </w:r>
      <w:r>
        <w:rPr>
          <w:lang w:val="ru-RU"/>
        </w:rPr>
        <w:t>), которые охватывают распределительные электросети, соответствующие напряжению 35-110 кВ,</w:t>
      </w:r>
      <w:r>
        <w:rPr>
          <w:lang w:val="ro-MO"/>
        </w:rPr>
        <w:t xml:space="preserve"> </w:t>
      </w:r>
      <w:r>
        <w:rPr>
          <w:lang w:val="ru-RU"/>
        </w:rPr>
        <w:t>кВт</w:t>
      </w:r>
      <w:r>
        <w:rPr>
          <w:vertAlign w:val="superscript"/>
          <w:lang w:val="ru-RU"/>
        </w:rPr>
        <w:t>.</w:t>
      </w:r>
      <w:r>
        <w:rPr>
          <w:lang w:val="ru-RU"/>
        </w:rPr>
        <w:t>ч;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lastRenderedPageBreak/>
        <w:t>EFC</w:t>
      </w:r>
      <w:r>
        <w:rPr>
          <w:i/>
          <w:iCs/>
          <w:vertAlign w:val="subscript"/>
        </w:rPr>
        <w:t>nmt</w:t>
      </w:r>
      <w:proofErr w:type="spellEnd"/>
      <w:r>
        <w:rPr>
          <w:lang w:val="ru-RU"/>
        </w:rPr>
        <w:t xml:space="preserve"> – количество электроэнергии, поста</w:t>
      </w:r>
      <w:r>
        <w:rPr>
          <w:lang w:val="ru-RU"/>
        </w:rPr>
        <w:t>вляемой в году «</w:t>
      </w:r>
      <w:r>
        <w:t>n</w:t>
      </w:r>
      <w:r>
        <w:rPr>
          <w:lang w:val="ru-RU"/>
        </w:rPr>
        <w:t>» конечным потребителям, электроустановки которых подключены к распределительным электросетям среднего напряжения (</w:t>
      </w:r>
      <w:r>
        <w:t>MT</w:t>
      </w:r>
      <w:r>
        <w:rPr>
          <w:lang w:val="ru-RU"/>
        </w:rPr>
        <w:t>), которые охватывают распределительные электросети, соответствующие напряжению 6-10 кВ,</w:t>
      </w:r>
      <w:r>
        <w:rPr>
          <w:lang w:val="ro-MO"/>
        </w:rPr>
        <w:t xml:space="preserve"> </w:t>
      </w:r>
      <w:r>
        <w:rPr>
          <w:lang w:val="ru-RU"/>
        </w:rPr>
        <w:t>кВт</w:t>
      </w:r>
      <w:r>
        <w:rPr>
          <w:vertAlign w:val="superscript"/>
          <w:lang w:val="ru-RU"/>
        </w:rPr>
        <w:t>.</w:t>
      </w:r>
      <w:r>
        <w:rPr>
          <w:lang w:val="ru-RU"/>
        </w:rPr>
        <w:t>ч;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EFC</w:t>
      </w:r>
      <w:r>
        <w:rPr>
          <w:i/>
          <w:iCs/>
          <w:vertAlign w:val="subscript"/>
        </w:rPr>
        <w:t>njt</w:t>
      </w:r>
      <w:proofErr w:type="spellEnd"/>
      <w:r>
        <w:rPr>
          <w:lang w:val="ru-RU"/>
        </w:rPr>
        <w:t xml:space="preserve"> – количество электр</w:t>
      </w:r>
      <w:r>
        <w:rPr>
          <w:lang w:val="ru-RU"/>
        </w:rPr>
        <w:t>оэнергии, поставляемой в году «</w:t>
      </w:r>
      <w:r>
        <w:t>n</w:t>
      </w:r>
      <w:r>
        <w:rPr>
          <w:lang w:val="ru-RU"/>
        </w:rPr>
        <w:t>» конечным потребителям, электроустановки которых подключены к распределительным электросетям низкого напряжения (</w:t>
      </w:r>
      <w:r>
        <w:t>JT</w:t>
      </w:r>
      <w:r>
        <w:rPr>
          <w:lang w:val="ru-RU"/>
        </w:rPr>
        <w:t>), которые охватывают распределительные электросети, соответствующие напряжению 0,4 кВ и ниже,</w:t>
      </w:r>
      <w:r>
        <w:rPr>
          <w:lang w:val="ro-MO"/>
        </w:rPr>
        <w:t xml:space="preserve"> </w:t>
      </w:r>
      <w:r>
        <w:rPr>
          <w:lang w:val="ru-RU"/>
        </w:rPr>
        <w:t>кВт</w:t>
      </w:r>
      <w:r>
        <w:rPr>
          <w:vertAlign w:val="superscript"/>
          <w:lang w:val="ru-RU"/>
        </w:rPr>
        <w:t>.</w:t>
      </w:r>
      <w:r>
        <w:rPr>
          <w:lang w:val="ru-RU"/>
        </w:rPr>
        <w:t>ч.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NormalWeb"/>
        <w:rPr>
          <w:lang w:val="ru-RU"/>
        </w:rPr>
      </w:pPr>
      <w:r>
        <w:rPr>
          <w:b/>
          <w:bCs/>
          <w:lang w:val="ru-RU"/>
        </w:rPr>
        <w:t>5.</w:t>
      </w:r>
      <w:r>
        <w:rPr>
          <w:lang w:val="ru-RU"/>
        </w:rPr>
        <w:t xml:space="preserve"> Р</w:t>
      </w:r>
      <w:r>
        <w:rPr>
          <w:lang w:val="ru-RU"/>
        </w:rPr>
        <w:t>егулируемые цены на поставку электроэнергии определяются и утверждаются таким образом, чтобы каждая категория конечных потребителей оплачивала только реальные расходы, необходимые для приобретения электроэнергии, ее передачи, распределения и поставки в раз</w:t>
      </w:r>
      <w:r>
        <w:rPr>
          <w:lang w:val="ru-RU"/>
        </w:rPr>
        <w:t>граничительные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пункты или места потребления конечных потребителей в зависимости от уровня напряжения электросетей, к которым подключены электроустановки потребителей. Эти цены могут быть как одноставочные, так и двухставочные.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NormalWeb"/>
        <w:rPr>
          <w:lang w:val="ru-RU"/>
        </w:rPr>
      </w:pPr>
      <w:r>
        <w:rPr>
          <w:b/>
          <w:bCs/>
          <w:lang w:val="ru-RU"/>
        </w:rPr>
        <w:t>6.</w:t>
      </w:r>
      <w:r>
        <w:rPr>
          <w:lang w:val="ru-RU"/>
        </w:rPr>
        <w:t xml:space="preserve"> Одноставочная регулируем</w:t>
      </w:r>
      <w:r>
        <w:rPr>
          <w:lang w:val="ru-RU"/>
        </w:rPr>
        <w:t>ая цена на поставку электроэнергии отражает затраты Поставщика на 1 кВт</w:t>
      </w:r>
      <w:r>
        <w:rPr>
          <w:vertAlign w:val="superscript"/>
          <w:lang w:val="ru-RU"/>
        </w:rPr>
        <w:t>.</w:t>
      </w:r>
      <w:r>
        <w:rPr>
          <w:lang w:val="ru-RU"/>
        </w:rPr>
        <w:t>ч (лей/кВт</w:t>
      </w:r>
      <w:r>
        <w:rPr>
          <w:vertAlign w:val="superscript"/>
          <w:lang w:val="ru-RU"/>
        </w:rPr>
        <w:t>.</w:t>
      </w:r>
      <w:r>
        <w:rPr>
          <w:lang w:val="ru-RU"/>
        </w:rPr>
        <w:t>ч). В этом случае доходы Поставщика за регулируемый год «</w:t>
      </w:r>
      <w:r>
        <w:t>n</w:t>
      </w:r>
      <w:r>
        <w:rPr>
          <w:lang w:val="ru-RU"/>
        </w:rPr>
        <w:t>» от поставки электроэнергии конечным потребителям электроэнергии и, соответственно, платежи, которые должны оплати</w:t>
      </w:r>
      <w:r>
        <w:rPr>
          <w:lang w:val="ru-RU"/>
        </w:rPr>
        <w:t>ть все конечные потребители за потребляемую электроэнергию, определяются согласно формуле:</w:t>
      </w:r>
    </w:p>
    <w:p w:rsidR="00000000" w:rsidRDefault="008F0830">
      <w:pPr>
        <w:pStyle w:val="NormalWeb"/>
        <w:rPr>
          <w:lang w:val="ru-RU"/>
        </w:rPr>
      </w:pPr>
      <w:r>
        <w:t> </w:t>
      </w:r>
      <m:r>
        <w:rPr>
          <w:rFonts w:ascii="Cambria Math" w:hAnsi="Cambria Math"/>
          <w:lang w:val="ro-MO"/>
        </w:rPr>
        <w:br/>
      </m:r>
      <m:oMathPara>
        <m:oMath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Fonts w:ascii="Cambria Math" w:hAnsi="Cambria Math"/>
                  <w:lang w:val="ro-MO"/>
                </w:rPr>
                <m:t>VF</m:t>
              </m:r>
            </m:e>
            <m:sub>
              <m:r>
                <w:rPr>
                  <w:rFonts w:ascii="Cambria Math" w:hAnsi="Cambria Math"/>
                  <w:lang w:val="ro-MO"/>
                </w:rPr>
                <m:t>n</m:t>
              </m:r>
            </m:sub>
          </m:sSub>
          <m:r>
            <w:rPr>
              <w:rFonts w:ascii="Cambria Math" w:hAnsi="Cambria Math"/>
              <w:lang w:val="ro-MO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Fonts w:ascii="Cambria Math" w:hAnsi="Cambria Math"/>
                  <w:lang w:val="ro-MO"/>
                </w:rPr>
                <m:t>PAC</m:t>
              </m:r>
            </m:e>
            <m:sub>
              <m:r>
                <w:rPr>
                  <w:rFonts w:ascii="Cambria Math" w:hAnsi="Cambria Math"/>
                  <w:lang w:val="ro-MO"/>
                </w:rPr>
                <m:t>n</m:t>
              </m:r>
            </m:sub>
          </m:sSub>
          <m:r>
            <w:rPr>
              <w:rFonts w:ascii="Cambria Math" w:hAnsi="Cambria Math"/>
              <w:lang w:val="ro-MO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lang w:val="ro-MO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nk</m:t>
                  </m:r>
                </m:sub>
              </m:sSub>
              <m:r>
                <w:rPr>
                  <w:rFonts w:ascii="Cambria Math" w:hAnsi="Cambria Math"/>
                  <w:lang w:val="ro-MO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  <m:r>
                    <w:rPr>
                      <w:rFonts w:ascii="Cambria Math" w:hAnsi="Cambria Math"/>
                      <w:lang w:val="ro-MO"/>
                    </w:rPr>
                    <m:t>FC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nk</m:t>
                  </m:r>
                </m:sub>
                <m:sup>
                  <m:r>
                    <w:rPr>
                      <w:rFonts w:ascii="Cambria Math" w:hAnsi="Cambria Math"/>
                      <w:lang w:val="ro-MO"/>
                    </w:rPr>
                    <m:t>m</m:t>
                  </m:r>
                </m:sup>
              </m:sSubSup>
              <m:r>
                <w:rPr>
                  <w:rFonts w:ascii="Cambria Math" w:hAnsi="Cambria Math"/>
                  <w:lang w:val="ro-MO"/>
                </w:rPr>
                <m:t xml:space="preserve">        (8)</m:t>
              </m:r>
            </m:e>
          </m:nary>
        </m:oMath>
      </m:oMathPara>
    </w:p>
    <w:p w:rsidR="00000000" w:rsidRDefault="008F0830">
      <w:pPr>
        <w:pStyle w:val="cn"/>
        <w:rPr>
          <w:lang w:val="ru-RU"/>
        </w:rPr>
      </w:pP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где: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PAC</w:t>
      </w:r>
      <w:r>
        <w:rPr>
          <w:i/>
          <w:iCs/>
          <w:vertAlign w:val="subscript"/>
        </w:rPr>
        <w:t>n</w:t>
      </w:r>
      <w:proofErr w:type="spellEnd"/>
      <w:r w:rsidRPr="008635A7">
        <w:rPr>
          <w:lang w:val="ru-RU"/>
        </w:rPr>
        <w:t xml:space="preserve"> </w:t>
      </w:r>
      <w:r>
        <w:rPr>
          <w:i/>
          <w:iCs/>
          <w:lang w:val="ru-RU"/>
        </w:rPr>
        <w:t xml:space="preserve">– </w:t>
      </w:r>
      <w:r>
        <w:rPr>
          <w:lang w:val="ru-RU"/>
        </w:rPr>
        <w:t>оплата, которую должны произвести все конечные потребители Поставщика за поставляемую (потребляемую</w:t>
      </w:r>
      <w:r>
        <w:rPr>
          <w:lang w:val="ru-RU"/>
        </w:rPr>
        <w:t>) электроэнергию в году «</w:t>
      </w:r>
      <w:r>
        <w:t>n</w:t>
      </w:r>
      <w:r>
        <w:rPr>
          <w:lang w:val="ru-RU"/>
        </w:rPr>
        <w:t>» , в леях;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EFC</w:t>
      </w:r>
      <w:r>
        <w:rPr>
          <w:i/>
          <w:iCs/>
          <w:vertAlign w:val="subscript"/>
        </w:rPr>
        <w:t>nk</w:t>
      </w:r>
      <w:proofErr w:type="spellEnd"/>
      <w:r>
        <w:rPr>
          <w:lang w:val="ru-RU"/>
        </w:rPr>
        <w:t xml:space="preserve"> – общее количество поставляемой электроэнергии в году «</w:t>
      </w:r>
      <w:r>
        <w:t>n</w:t>
      </w:r>
      <w:r>
        <w:rPr>
          <w:lang w:val="ru-RU"/>
        </w:rPr>
        <w:t>» конечными потребителями категории «</w:t>
      </w:r>
      <w:r>
        <w:t>k</w:t>
      </w:r>
      <w:r>
        <w:rPr>
          <w:lang w:val="ru-RU"/>
        </w:rPr>
        <w:t>», кВт</w:t>
      </w:r>
      <w:r>
        <w:rPr>
          <w:vertAlign w:val="superscript"/>
          <w:lang w:val="ru-RU"/>
        </w:rPr>
        <w:t>.</w:t>
      </w:r>
      <w:r>
        <w:rPr>
          <w:lang w:val="ru-RU"/>
        </w:rPr>
        <w:t>ч;</w:t>
      </w:r>
    </w:p>
    <w:p w:rsidR="00000000" w:rsidRDefault="008F0830">
      <w:pPr>
        <w:pStyle w:val="NormalWeb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lang w:val="ro-MO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  <m:r>
              <w:rPr>
                <w:rFonts w:ascii="Cambria Math" w:hAnsi="Cambria Math"/>
                <w:lang w:val="ro-MO"/>
              </w:rPr>
              <m:t>FC</m:t>
            </m:r>
          </m:e>
          <m:sub>
            <m:r>
              <w:rPr>
                <w:rFonts w:ascii="Cambria Math" w:hAnsi="Cambria Math"/>
                <w:lang w:val="ro-MO"/>
              </w:rPr>
              <m:t>nk</m:t>
            </m:r>
          </m:sub>
          <m:sup>
            <m:r>
              <w:rPr>
                <w:rFonts w:ascii="Cambria Math" w:hAnsi="Cambria Math"/>
                <w:lang w:val="ro-MO"/>
              </w:rPr>
              <m:t>m</m:t>
            </m:r>
          </m:sup>
        </m:sSubSup>
      </m:oMath>
      <w:r>
        <w:rPr>
          <w:lang w:val="ru-RU"/>
        </w:rPr>
        <w:t>– регулируемая одноставочная регулируемая цена на поставляемую электроэнергию в году «</w:t>
      </w:r>
      <w:r>
        <w:t>n</w:t>
      </w:r>
      <w:r>
        <w:rPr>
          <w:lang w:val="ru-RU"/>
        </w:rPr>
        <w:t>» конечны</w:t>
      </w:r>
      <w:r>
        <w:rPr>
          <w:lang w:val="ru-RU"/>
        </w:rPr>
        <w:t>м потребителям категории «</w:t>
      </w:r>
      <w:r>
        <w:t>k</w:t>
      </w:r>
      <w:r>
        <w:rPr>
          <w:lang w:val="ru-RU"/>
        </w:rPr>
        <w:t>», лей/кВт·ч. Эта регулируемая цена определяется: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1) За поставляемую электроэнергию в пунктах входа в передающие электросети (оператору передающей системы для покрытия технологических расходов и потерь электроэнергии в передающих</w:t>
      </w:r>
      <w:r>
        <w:rPr>
          <w:lang w:val="ru-RU"/>
        </w:rPr>
        <w:t xml:space="preserve"> электросетях):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cn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Fonts w:ascii="Cambria Math" w:hAnsi="Cambria Math"/>
                  <w:lang w:val="ro-MO"/>
                </w:rPr>
                <m:t>PFC</m:t>
              </m:r>
            </m:e>
            <m:sub>
              <m:r>
                <w:rPr>
                  <w:rFonts w:ascii="Cambria Math" w:hAnsi="Cambria Math"/>
                  <w:lang w:val="ro-MO"/>
                </w:rPr>
                <m:t>not</m:t>
              </m:r>
            </m:sub>
          </m:sSub>
          <m:r>
            <w:rPr>
              <w:rFonts w:ascii="Cambria Math" w:hAnsi="Cambria Math"/>
              <w:lang w:val="ro-M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o-M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VF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not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not</m:t>
                  </m:r>
                </m:sub>
              </m:sSub>
            </m:den>
          </m:f>
          <m:r>
            <w:rPr>
              <w:rFonts w:ascii="Cambria Math" w:hAnsi="Cambria Math"/>
              <w:lang w:val="ro-M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o-M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CEP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ro-MO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CSF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ro-MO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Dev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  <m:r>
                    <w:rPr>
                      <w:rFonts w:ascii="Cambria Math" w:hAnsi="Cambria Math"/>
                      <w:lang w:val="ro-MO"/>
                    </w:rPr>
                    <m:t>-</m:t>
                  </m:r>
                  <m:r>
                    <w:rPr>
                      <w:rFonts w:ascii="Cambria Math" w:hAnsi="Cambria Math"/>
                      <w:lang w:val="ro-MO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ro-MO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RF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lang w:val="ro-M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o-M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CEP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lang w:val="ro-MO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Fonts w:ascii="Cambria Math" w:hAnsi="Cambria Math"/>
                  <w:lang w:val="ro-MO"/>
                </w:rPr>
                <m:t>PF</m:t>
              </m:r>
            </m:e>
            <m:sub>
              <m:r>
                <w:rPr>
                  <w:rFonts w:ascii="Cambria Math" w:hAnsi="Cambria Math"/>
                  <w:lang w:val="ro-MO"/>
                </w:rPr>
                <m:t>n</m:t>
              </m:r>
            </m:sub>
          </m:sSub>
          <m:r>
            <w:rPr>
              <w:rFonts w:ascii="Cambria Math" w:hAnsi="Cambria Math"/>
              <w:lang w:val="ro-MO"/>
            </w:rPr>
            <m:t xml:space="preserve">   (9)</m:t>
          </m:r>
        </m:oMath>
      </m:oMathPara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где: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PF</w:t>
      </w:r>
      <w:r>
        <w:rPr>
          <w:i/>
          <w:iCs/>
          <w:vertAlign w:val="subscript"/>
        </w:rPr>
        <w:t>n</w:t>
      </w:r>
      <w:proofErr w:type="spellEnd"/>
      <w:r>
        <w:rPr>
          <w:lang w:val="ru-RU"/>
        </w:rPr>
        <w:t xml:space="preserve"> – регулируемая цена на осуществление Поставщиком деятельности по поставке электроэнергии, лей/кВт·ч</w:t>
      </w:r>
      <w:r>
        <w:rPr>
          <w:lang w:val="ru-RU"/>
        </w:rPr>
        <w:t>, которая определяется согласно формуле: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cn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Fonts w:ascii="Cambria Math" w:hAnsi="Cambria Math"/>
                  <w:lang w:val="ro-MO"/>
                </w:rPr>
                <m:t>PF</m:t>
              </m:r>
            </m:e>
            <m:sub>
              <m:r>
                <w:rPr>
                  <w:rFonts w:ascii="Cambria Math" w:hAnsi="Cambria Math"/>
                  <w:lang w:val="ro-MO"/>
                </w:rPr>
                <m:t>n</m:t>
              </m:r>
            </m:sub>
          </m:sSub>
          <m:r>
            <w:rPr>
              <w:rFonts w:ascii="Cambria Math" w:hAnsi="Cambria Math"/>
              <w:lang w:val="ro-M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o-M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CSF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ro-MO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Dev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  <m:r>
                    <w:rPr>
                      <w:rFonts w:ascii="Cambria Math" w:hAnsi="Cambria Math"/>
                      <w:lang w:val="ro-MO"/>
                    </w:rPr>
                    <m:t>-</m:t>
                  </m:r>
                  <m:r>
                    <w:rPr>
                      <w:rFonts w:ascii="Cambria Math" w:hAnsi="Cambria Math"/>
                      <w:lang w:val="ro-MO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ro-MO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RF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lang w:val="ro-MO"/>
            </w:rPr>
            <m:t xml:space="preserve">     (10)</m:t>
          </m:r>
        </m:oMath>
      </m:oMathPara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2) За электроэнергию, поставляемую у пунктов выхода из передающих электросетей (конечным потребителям, электроустановки которых подключены непосредственно к пер</w:t>
      </w:r>
      <w:r>
        <w:rPr>
          <w:lang w:val="ru-RU"/>
        </w:rPr>
        <w:t>едающим электросетям, операторам распределительных систем для покрытия технологических расходов и потерь электроэнергии в распределительных электросетях):</w:t>
      </w:r>
    </w:p>
    <w:p w:rsidR="00000000" w:rsidRDefault="008F0830">
      <w:pPr>
        <w:pStyle w:val="NormalWeb"/>
        <w:rPr>
          <w:lang w:val="ru-RU"/>
        </w:rPr>
      </w:pPr>
      <w:r>
        <w:lastRenderedPageBreak/>
        <w:t> </w:t>
      </w:r>
      <m:r>
        <w:rPr>
          <w:rFonts w:ascii="Cambria Math" w:hAnsi="Cambria Math"/>
          <w:lang w:val="ro-MO"/>
        </w:rPr>
        <w:br/>
      </m:r>
      <m:oMathPara>
        <m:oMath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Fonts w:ascii="Cambria Math" w:hAnsi="Cambria Math"/>
                  <w:lang w:val="ro-MO"/>
                </w:rPr>
                <m:t>PFC</m:t>
              </m:r>
            </m:e>
            <m:sub>
              <m:r>
                <w:rPr>
                  <w:rFonts w:ascii="Cambria Math" w:hAnsi="Cambria Math"/>
                  <w:lang w:val="ro-MO"/>
                </w:rPr>
                <m:t>ntr</m:t>
              </m:r>
            </m:sub>
          </m:sSub>
          <m:r>
            <w:rPr>
              <w:rFonts w:ascii="Cambria Math" w:hAnsi="Cambria Math"/>
              <w:lang w:val="ro-M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o-M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VF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ntr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ntr</m:t>
                  </m:r>
                </m:sub>
              </m:sSub>
            </m:den>
          </m:f>
          <m:r>
            <w:rPr>
              <w:rFonts w:ascii="Cambria Math" w:hAnsi="Cambria Math"/>
              <w:lang w:val="ro-M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o-M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CEP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lang w:val="ro-MO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Fonts w:ascii="Cambria Math" w:hAnsi="Cambria Math"/>
                  <w:lang w:val="ro-MO"/>
                </w:rPr>
                <m:t>PF</m:t>
              </m:r>
            </m:e>
            <m:sub>
              <m:r>
                <w:rPr>
                  <w:rFonts w:ascii="Cambria Math" w:hAnsi="Cambria Math"/>
                  <w:lang w:val="ro-MO"/>
                </w:rPr>
                <m:t>n</m:t>
              </m:r>
            </m:sub>
          </m:sSub>
          <m:r>
            <w:rPr>
              <w:rFonts w:ascii="Cambria Math" w:hAnsi="Cambria Math"/>
              <w:lang w:val="ro-MO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ro-M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CST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ro-MO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not</m:t>
                  </m:r>
                </m:sub>
              </m:sSub>
            </m:den>
          </m:f>
          <m:r>
            <w:rPr>
              <w:rFonts w:ascii="Cambria Math" w:hAnsi="Cambria Math"/>
              <w:lang w:val="ro-M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o-M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CEP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E</m:t>
                  </m:r>
                  <m:r>
                    <w:rPr>
                      <w:rFonts w:ascii="Cambria Math" w:hAnsi="Cambria Math"/>
                      <w:lang w:val="ro-MO"/>
                    </w:rPr>
                    <m:t>FC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lang w:val="ro-MO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Fonts w:ascii="Cambria Math" w:hAnsi="Cambria Math"/>
                  <w:lang w:val="ro-MO"/>
                </w:rPr>
                <m:t>PF</m:t>
              </m:r>
            </m:e>
            <m:sub>
              <m:r>
                <w:rPr>
                  <w:rFonts w:ascii="Cambria Math" w:hAnsi="Cambria Math"/>
                  <w:lang w:val="ro-MO"/>
                </w:rPr>
                <m:t>n</m:t>
              </m:r>
            </m:sub>
          </m:sSub>
          <m:r>
            <w:rPr>
              <w:rFonts w:ascii="Cambria Math" w:hAnsi="Cambria Math"/>
              <w:lang w:val="ro-MO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Fonts w:ascii="Cambria Math" w:hAnsi="Cambria Math"/>
                  <w:lang w:val="ro-MO"/>
                </w:rPr>
                <m:t>TT</m:t>
              </m:r>
            </m:e>
            <m:sub>
              <m:r>
                <w:rPr>
                  <w:rFonts w:ascii="Cambria Math" w:hAnsi="Cambria Math"/>
                  <w:lang w:val="ro-MO"/>
                </w:rPr>
                <m:t>n</m:t>
              </m:r>
            </m:sub>
          </m:sSub>
          <m:r>
            <w:rPr>
              <w:rFonts w:ascii="Cambria Math" w:hAnsi="Cambria Math"/>
              <w:lang w:val="ro-MO"/>
            </w:rPr>
            <m:t xml:space="preserve">   (11)</m:t>
          </m:r>
        </m:oMath>
      </m:oMathPara>
    </w:p>
    <w:p w:rsidR="00000000" w:rsidRDefault="008F0830">
      <w:pPr>
        <w:pStyle w:val="cn"/>
        <w:rPr>
          <w:lang w:val="ru-RU"/>
        </w:rPr>
      </w:pP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 xml:space="preserve">где: 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TT</w:t>
      </w:r>
      <w:r>
        <w:rPr>
          <w:i/>
          <w:iCs/>
          <w:vertAlign w:val="subscript"/>
        </w:rPr>
        <w:t>n</w:t>
      </w:r>
      <w:proofErr w:type="spellEnd"/>
      <w:r>
        <w:rPr>
          <w:lang w:val="ru-RU"/>
        </w:rPr>
        <w:t xml:space="preserve"> – тариф на услугу по передаче электроэнергии в году «</w:t>
      </w:r>
      <w:r>
        <w:t>n</w:t>
      </w:r>
      <w:r>
        <w:rPr>
          <w:lang w:val="ru-RU"/>
        </w:rPr>
        <w:t>» оказанную Поставщику оператором передающей системы, утвержденный Агентством в соответствии с законом, лей/кВт·ч.3) За поставляемую электроэнергию в году «</w:t>
      </w:r>
      <w:r>
        <w:t>n</w:t>
      </w:r>
      <w:r>
        <w:rPr>
          <w:lang w:val="ru-RU"/>
        </w:rPr>
        <w:t>» кон</w:t>
      </w:r>
      <w:r>
        <w:rPr>
          <w:lang w:val="ru-RU"/>
        </w:rPr>
        <w:t>ечным потребителям, электроустановки которых подключены к распределительным электросетям высокого напряжения (</w:t>
      </w:r>
      <w:r>
        <w:t>TI</w:t>
      </w:r>
      <w:r>
        <w:rPr>
          <w:lang w:val="ru-RU"/>
        </w:rPr>
        <w:t>):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cn"/>
        <w:rPr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ro-MO"/>
                </w:rPr>
              </m:ctrlPr>
            </m:sSubSupPr>
            <m:e>
              <m:r>
                <w:rPr>
                  <w:rFonts w:ascii="Cambria Math" w:hAnsi="Cambria Math"/>
                  <w:lang w:val="ro-MO"/>
                </w:rPr>
                <m:t>PFC</m:t>
              </m:r>
            </m:e>
            <m:sub>
              <m:r>
                <w:rPr>
                  <w:rFonts w:ascii="Cambria Math" w:hAnsi="Cambria Math"/>
                  <w:lang w:val="ro-MO"/>
                </w:rPr>
                <m:t>nit</m:t>
              </m:r>
            </m:sub>
            <m:sup>
              <m:r>
                <w:rPr>
                  <w:rFonts w:ascii="Cambria Math" w:hAnsi="Cambria Math"/>
                  <w:lang w:val="ro-MO"/>
                </w:rPr>
                <m:t>m</m:t>
              </m:r>
            </m:sup>
          </m:sSubSup>
          <m:r>
            <w:rPr>
              <w:rFonts w:ascii="Cambria Math" w:hAnsi="Cambria Math"/>
              <w:lang w:val="ro-M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o-M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VF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nit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nit</m:t>
                  </m:r>
                </m:sub>
              </m:sSub>
            </m:den>
          </m:f>
          <m:r>
            <w:rPr>
              <w:rFonts w:ascii="Cambria Math" w:hAnsi="Cambria Math"/>
              <w:lang w:val="ro-M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o-M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CEP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lang w:val="ro-MO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Fonts w:ascii="Cambria Math" w:hAnsi="Cambria Math"/>
                  <w:lang w:val="ro-MO"/>
                </w:rPr>
                <m:t>PF</m:t>
              </m:r>
            </m:e>
            <m:sub>
              <m:r>
                <w:rPr>
                  <w:rFonts w:ascii="Cambria Math" w:hAnsi="Cambria Math"/>
                  <w:lang w:val="ro-MO"/>
                </w:rPr>
                <m:t>n</m:t>
              </m:r>
            </m:sub>
          </m:sSub>
          <m:r>
            <w:rPr>
              <w:rFonts w:ascii="Cambria Math" w:hAnsi="Cambria Math"/>
              <w:lang w:val="ro-MO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Fonts w:ascii="Cambria Math" w:hAnsi="Cambria Math"/>
                  <w:lang w:val="ro-MO"/>
                </w:rPr>
                <m:t>TT</m:t>
              </m:r>
            </m:e>
            <m:sub>
              <m:r>
                <w:rPr>
                  <w:rFonts w:ascii="Cambria Math" w:hAnsi="Cambria Math"/>
                  <w:lang w:val="ro-MO"/>
                </w:rPr>
                <m:t>n</m:t>
              </m:r>
            </m:sub>
          </m:sSub>
          <m:r>
            <w:rPr>
              <w:rFonts w:ascii="Cambria Math" w:hAnsi="Cambria Math"/>
              <w:lang w:val="ro-MO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ro-MO"/>
                </w:rPr>
              </m:ctrlPr>
            </m:sSubSupPr>
            <m:e>
              <m:r>
                <w:rPr>
                  <w:rFonts w:ascii="Cambria Math" w:hAnsi="Cambria Math"/>
                  <w:lang w:val="ro-MO"/>
                </w:rPr>
                <m:t>TD</m:t>
              </m:r>
            </m:e>
            <m:sub>
              <m:r>
                <w:rPr>
                  <w:rFonts w:ascii="Cambria Math" w:hAnsi="Cambria Math"/>
                  <w:lang w:val="ro-MO"/>
                </w:rPr>
                <m:t>nit</m:t>
              </m:r>
            </m:sub>
            <m:sup>
              <m:r>
                <w:rPr>
                  <w:rFonts w:ascii="Cambria Math" w:hAnsi="Cambria Math"/>
                  <w:lang w:val="ro-MO"/>
                </w:rPr>
                <m:t>m</m:t>
              </m:r>
            </m:sup>
          </m:sSubSup>
          <m:r>
            <w:rPr>
              <w:rFonts w:ascii="Cambria Math" w:hAnsi="Cambria Math"/>
              <w:lang w:val="ro-MO"/>
            </w:rPr>
            <m:t xml:space="preserve">   (12)</m:t>
          </m:r>
        </m:oMath>
      </m:oMathPara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где:</w:t>
      </w:r>
    </w:p>
    <w:p w:rsidR="00000000" w:rsidRDefault="008F0830">
      <w:pPr>
        <w:pStyle w:val="NormalWeb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lang w:val="ro-MO"/>
              </w:rPr>
            </m:ctrlPr>
          </m:sSubSupPr>
          <m:e>
            <m:r>
              <w:rPr>
                <w:rFonts w:ascii="Cambria Math" w:hAnsi="Cambria Math"/>
                <w:lang w:val="ro-MO"/>
              </w:rPr>
              <m:t>TD</m:t>
            </m:r>
          </m:e>
          <m:sub>
            <m:r>
              <w:rPr>
                <w:rFonts w:ascii="Cambria Math" w:hAnsi="Cambria Math"/>
                <w:lang w:val="ro-MO"/>
              </w:rPr>
              <m:t>nit</m:t>
            </m:r>
          </m:sub>
          <m:sup>
            <m:r>
              <w:rPr>
                <w:rFonts w:ascii="Cambria Math" w:hAnsi="Cambria Math"/>
                <w:lang w:val="ro-MO"/>
              </w:rPr>
              <m:t>m</m:t>
            </m:r>
          </m:sup>
        </m:sSubSup>
      </m:oMath>
      <w:r>
        <w:rPr>
          <w:lang w:val="ru-RU"/>
        </w:rPr>
        <w:t xml:space="preserve">– тариф на услугу по </w:t>
      </w:r>
      <w:r>
        <w:rPr>
          <w:lang w:val="ru-RU"/>
        </w:rPr>
        <w:t>распределению электроэнергии, оказанную Поставщику в году «</w:t>
      </w:r>
      <w:r>
        <w:t>n</w:t>
      </w:r>
      <w:r>
        <w:rPr>
          <w:lang w:val="ru-RU"/>
        </w:rPr>
        <w:t>» операторами распределительных систем через распределительные электросети высокого напряжения, рассчитанный на 1 кВт·ч и утвержденный Агентством в соответствии с законом.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4) За поставляемую элект</w:t>
      </w:r>
      <w:r>
        <w:rPr>
          <w:lang w:val="ru-RU"/>
        </w:rPr>
        <w:t>роэнергию в году «</w:t>
      </w:r>
      <w:r>
        <w:t>n</w:t>
      </w:r>
      <w:r>
        <w:rPr>
          <w:lang w:val="ru-RU"/>
        </w:rPr>
        <w:t>» конечным потребителям, электроустановки которых подключены к распределительным электросетям среднего напряжения (</w:t>
      </w:r>
      <w:r>
        <w:t>TM</w:t>
      </w:r>
      <w:r>
        <w:rPr>
          <w:lang w:val="ru-RU"/>
        </w:rPr>
        <w:t>):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cn"/>
        <w:rPr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ro-MO"/>
                </w:rPr>
              </m:ctrlPr>
            </m:sSubSupPr>
            <m:e>
              <m:r>
                <w:rPr>
                  <w:rFonts w:ascii="Cambria Math" w:hAnsi="Cambria Math"/>
                  <w:lang w:val="ro-MO"/>
                </w:rPr>
                <m:t>PFC</m:t>
              </m:r>
            </m:e>
            <m:sub>
              <m:r>
                <w:rPr>
                  <w:rFonts w:ascii="Cambria Math" w:hAnsi="Cambria Math"/>
                  <w:lang w:val="ro-MO"/>
                </w:rPr>
                <m:t>nmt</m:t>
              </m:r>
            </m:sub>
            <m:sup>
              <m:r>
                <w:rPr>
                  <w:rFonts w:ascii="Cambria Math" w:hAnsi="Cambria Math"/>
                  <w:lang w:val="ro-MO"/>
                </w:rPr>
                <m:t>m</m:t>
              </m:r>
            </m:sup>
          </m:sSubSup>
          <m:r>
            <w:rPr>
              <w:rFonts w:ascii="Cambria Math" w:hAnsi="Cambria Math"/>
              <w:lang w:val="ro-M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o-M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VF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nmt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nmt</m:t>
                  </m:r>
                </m:sub>
              </m:sSub>
            </m:den>
          </m:f>
          <m:r>
            <w:rPr>
              <w:rFonts w:ascii="Cambria Math" w:hAnsi="Cambria Math"/>
              <w:lang w:val="ro-M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o-M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CEP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lang w:val="ro-MO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Fonts w:ascii="Cambria Math" w:hAnsi="Cambria Math"/>
                  <w:lang w:val="ro-MO"/>
                </w:rPr>
                <m:t>PF</m:t>
              </m:r>
            </m:e>
            <m:sub>
              <m:r>
                <w:rPr>
                  <w:rFonts w:ascii="Cambria Math" w:hAnsi="Cambria Math"/>
                  <w:lang w:val="ro-MO"/>
                </w:rPr>
                <m:t>n</m:t>
              </m:r>
            </m:sub>
          </m:sSub>
          <m:r>
            <w:rPr>
              <w:rFonts w:ascii="Cambria Math" w:hAnsi="Cambria Math"/>
              <w:lang w:val="ro-MO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Fonts w:ascii="Cambria Math" w:hAnsi="Cambria Math"/>
                  <w:lang w:val="ro-MO"/>
                </w:rPr>
                <m:t>TT</m:t>
              </m:r>
            </m:e>
            <m:sub>
              <m:r>
                <w:rPr>
                  <w:rFonts w:ascii="Cambria Math" w:hAnsi="Cambria Math"/>
                  <w:lang w:val="ro-MO"/>
                </w:rPr>
                <m:t>n</m:t>
              </m:r>
            </m:sub>
          </m:sSub>
          <m:r>
            <w:rPr>
              <w:rFonts w:ascii="Cambria Math" w:hAnsi="Cambria Math"/>
              <w:lang w:val="ro-MO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ro-MO"/>
                </w:rPr>
              </m:ctrlPr>
            </m:sSubSupPr>
            <m:e>
              <m:r>
                <w:rPr>
                  <w:rFonts w:ascii="Cambria Math" w:hAnsi="Cambria Math"/>
                  <w:lang w:val="ro-MO"/>
                </w:rPr>
                <m:t>TD</m:t>
              </m:r>
            </m:e>
            <m:sub>
              <m:r>
                <w:rPr>
                  <w:rFonts w:ascii="Cambria Math" w:hAnsi="Cambria Math"/>
                  <w:lang w:val="ro-MO"/>
                </w:rPr>
                <m:t>nmt</m:t>
              </m:r>
            </m:sub>
            <m:sup>
              <m:r>
                <w:rPr>
                  <w:rFonts w:ascii="Cambria Math" w:hAnsi="Cambria Math"/>
                  <w:lang w:val="ro-MO"/>
                </w:rPr>
                <m:t>m</m:t>
              </m:r>
            </m:sup>
          </m:sSubSup>
          <m:r>
            <w:rPr>
              <w:rFonts w:ascii="Cambria Math" w:hAnsi="Cambria Math"/>
              <w:lang w:val="ro-MO"/>
            </w:rPr>
            <m:t xml:space="preserve">   (13)</m:t>
          </m:r>
        </m:oMath>
      </m:oMathPara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где:</w:t>
      </w:r>
    </w:p>
    <w:p w:rsidR="00000000" w:rsidRDefault="008F0830">
      <w:pPr>
        <w:pStyle w:val="NormalWeb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lang w:val="ro-MO"/>
              </w:rPr>
            </m:ctrlPr>
          </m:sSubSupPr>
          <m:e>
            <m:r>
              <w:rPr>
                <w:rFonts w:ascii="Cambria Math" w:hAnsi="Cambria Math"/>
                <w:lang w:val="ro-MO"/>
              </w:rPr>
              <m:t>TD</m:t>
            </m:r>
          </m:e>
          <m:sub>
            <m:r>
              <w:rPr>
                <w:rFonts w:ascii="Cambria Math" w:hAnsi="Cambria Math"/>
                <w:lang w:val="ro-MO"/>
              </w:rPr>
              <m:t>nmt</m:t>
            </m:r>
          </m:sub>
          <m:sup>
            <m:r>
              <w:rPr>
                <w:rFonts w:ascii="Cambria Math" w:hAnsi="Cambria Math"/>
                <w:lang w:val="ro-MO"/>
              </w:rPr>
              <m:t>m</m:t>
            </m:r>
          </m:sup>
        </m:sSubSup>
      </m:oMath>
      <w:r>
        <w:rPr>
          <w:lang w:val="ru-RU"/>
        </w:rPr>
        <w:t>– тариф н</w:t>
      </w:r>
      <w:r>
        <w:rPr>
          <w:lang w:val="ru-RU"/>
        </w:rPr>
        <w:t>а услугу по распределению электроэнергии, оказанную Поставщику в году «</w:t>
      </w:r>
      <w:r>
        <w:t>n</w:t>
      </w:r>
      <w:r>
        <w:rPr>
          <w:lang w:val="ru-RU"/>
        </w:rPr>
        <w:t>» операторами распределительных систем через распределительные электросети среднего напряжения, рассчитанный на 1 кВт·ч и утвержденный Агентством в установленном законом порядке.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5) За</w:t>
      </w:r>
      <w:r>
        <w:rPr>
          <w:lang w:val="ru-RU"/>
        </w:rPr>
        <w:t xml:space="preserve"> поставляемую электроэнергию в году «</w:t>
      </w:r>
      <w:r>
        <w:t>n</w:t>
      </w:r>
      <w:r>
        <w:rPr>
          <w:lang w:val="ru-RU"/>
        </w:rPr>
        <w:t>» конечным потребителям, электроустановки которых подключены к распределительным электросетям низкого напряжения (</w:t>
      </w:r>
      <w:r>
        <w:t>TJ</w:t>
      </w:r>
      <w:r>
        <w:rPr>
          <w:lang w:val="ru-RU"/>
        </w:rPr>
        <w:t>):</w:t>
      </w:r>
    </w:p>
    <w:p w:rsidR="00000000" w:rsidRDefault="008F0830">
      <w:pPr>
        <w:pStyle w:val="NormalWeb"/>
        <w:rPr>
          <w:lang w:val="ru-RU"/>
        </w:rPr>
      </w:pPr>
      <w:r>
        <w:t> </w:t>
      </w:r>
      <m:r>
        <w:rPr>
          <w:rFonts w:ascii="Cambria Math" w:hAnsi="Cambria Math"/>
          <w:lang w:val="ro-MO"/>
        </w:rPr>
        <w:br/>
      </m:r>
      <m:oMathPara>
        <m:oMath>
          <m:sSubSup>
            <m:sSubSupPr>
              <m:ctrlPr>
                <w:rPr>
                  <w:rFonts w:ascii="Cambria Math" w:hAnsi="Cambria Math"/>
                  <w:i/>
                  <w:lang w:val="ro-MO"/>
                </w:rPr>
              </m:ctrlPr>
            </m:sSubSupPr>
            <m:e>
              <m:r>
                <w:rPr>
                  <w:rFonts w:ascii="Cambria Math" w:hAnsi="Cambria Math"/>
                  <w:lang w:val="ro-MO"/>
                </w:rPr>
                <m:t>PFC</m:t>
              </m:r>
            </m:e>
            <m:sub>
              <m:r>
                <w:rPr>
                  <w:rFonts w:ascii="Cambria Math" w:hAnsi="Cambria Math"/>
                  <w:lang w:val="ro-MO"/>
                </w:rPr>
                <m:t>njt</m:t>
              </m:r>
            </m:sub>
            <m:sup>
              <m:r>
                <w:rPr>
                  <w:rFonts w:ascii="Cambria Math" w:hAnsi="Cambria Math"/>
                  <w:lang w:val="ro-MO"/>
                </w:rPr>
                <m:t>m</m:t>
              </m:r>
            </m:sup>
          </m:sSubSup>
          <m:r>
            <w:rPr>
              <w:rFonts w:ascii="Cambria Math" w:hAnsi="Cambria Math"/>
              <w:lang w:val="ro-M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o-M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VF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njt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njt</m:t>
                  </m:r>
                </m:sub>
              </m:sSub>
            </m:den>
          </m:f>
          <m:r>
            <w:rPr>
              <w:rFonts w:ascii="Cambria Math" w:hAnsi="Cambria Math"/>
              <w:lang w:val="ro-M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o-M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CEP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lang w:val="ro-MO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Fonts w:ascii="Cambria Math" w:hAnsi="Cambria Math"/>
                  <w:lang w:val="ro-MO"/>
                </w:rPr>
                <m:t>PF</m:t>
              </m:r>
            </m:e>
            <m:sub>
              <m:r>
                <w:rPr>
                  <w:rFonts w:ascii="Cambria Math" w:hAnsi="Cambria Math"/>
                  <w:lang w:val="ro-MO"/>
                </w:rPr>
                <m:t>n</m:t>
              </m:r>
            </m:sub>
          </m:sSub>
          <m:r>
            <w:rPr>
              <w:rFonts w:ascii="Cambria Math" w:hAnsi="Cambria Math"/>
              <w:lang w:val="ro-MO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Fonts w:ascii="Cambria Math" w:hAnsi="Cambria Math"/>
                  <w:lang w:val="ro-MO"/>
                </w:rPr>
                <m:t>TT</m:t>
              </m:r>
            </m:e>
            <m:sub>
              <m:r>
                <w:rPr>
                  <w:rFonts w:ascii="Cambria Math" w:hAnsi="Cambria Math"/>
                  <w:lang w:val="ro-MO"/>
                </w:rPr>
                <m:t>n</m:t>
              </m:r>
            </m:sub>
          </m:sSub>
          <m:r>
            <w:rPr>
              <w:rFonts w:ascii="Cambria Math" w:hAnsi="Cambria Math"/>
              <w:lang w:val="ro-MO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ro-MO"/>
                </w:rPr>
              </m:ctrlPr>
            </m:sSubSupPr>
            <m:e>
              <m:r>
                <w:rPr>
                  <w:rFonts w:ascii="Cambria Math" w:hAnsi="Cambria Math"/>
                  <w:lang w:val="ro-MO"/>
                </w:rPr>
                <m:t>TD</m:t>
              </m:r>
            </m:e>
            <m:sub>
              <m:r>
                <w:rPr>
                  <w:rFonts w:ascii="Cambria Math" w:hAnsi="Cambria Math"/>
                  <w:lang w:val="ro-MO"/>
                </w:rPr>
                <m:t>njt</m:t>
              </m:r>
            </m:sub>
            <m:sup>
              <m:r>
                <w:rPr>
                  <w:rFonts w:ascii="Cambria Math" w:hAnsi="Cambria Math"/>
                  <w:lang w:val="ro-MO"/>
                </w:rPr>
                <m:t>m</m:t>
              </m:r>
            </m:sup>
          </m:sSubSup>
          <m:r>
            <w:rPr>
              <w:rFonts w:ascii="Cambria Math" w:hAnsi="Cambria Math"/>
              <w:lang w:val="ro-MO"/>
            </w:rPr>
            <m:t xml:space="preserve">   (14)</m:t>
          </m:r>
        </m:oMath>
      </m:oMathPara>
    </w:p>
    <w:p w:rsidR="00000000" w:rsidRDefault="008F0830">
      <w:pPr>
        <w:pStyle w:val="cn"/>
        <w:rPr>
          <w:lang w:val="ru-RU"/>
        </w:rPr>
      </w:pP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 xml:space="preserve">где: </w:t>
      </w:r>
    </w:p>
    <w:p w:rsidR="00000000" w:rsidRDefault="008F0830">
      <w:pPr>
        <w:pStyle w:val="NormalWeb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lang w:val="ro-MO"/>
              </w:rPr>
            </m:ctrlPr>
          </m:sSubSupPr>
          <m:e>
            <m:r>
              <w:rPr>
                <w:rFonts w:ascii="Cambria Math" w:hAnsi="Cambria Math"/>
                <w:lang w:val="ro-MO"/>
              </w:rPr>
              <m:t>T</m:t>
            </m:r>
            <m:r>
              <w:rPr>
                <w:rFonts w:ascii="Cambria Math" w:hAnsi="Cambria Math"/>
                <w:lang w:val="ro-MO"/>
              </w:rPr>
              <m:t>D</m:t>
            </m:r>
          </m:e>
          <m:sub>
            <m:r>
              <w:rPr>
                <w:rFonts w:ascii="Cambria Math" w:hAnsi="Cambria Math"/>
                <w:lang w:val="ro-MO"/>
              </w:rPr>
              <m:t>njt</m:t>
            </m:r>
          </m:sub>
          <m:sup>
            <m:r>
              <w:rPr>
                <w:rFonts w:ascii="Cambria Math" w:hAnsi="Cambria Math"/>
                <w:lang w:val="ro-MO"/>
              </w:rPr>
              <m:t>m</m:t>
            </m:r>
          </m:sup>
        </m:sSubSup>
      </m:oMath>
      <w:r>
        <w:rPr>
          <w:lang w:val="ru-RU"/>
        </w:rPr>
        <w:t>– тариф на услугу по распределению электроэнергии, оказанную Поставщику в году «</w:t>
      </w:r>
      <w:r>
        <w:t>n</w:t>
      </w:r>
      <w:r>
        <w:rPr>
          <w:lang w:val="ru-RU"/>
        </w:rPr>
        <w:t>» операторами распределительных систем по распределительным электросетям низкого напряжения, рассчитанный на 1 кВт·ч и утвержденный Агентством в установленном закон</w:t>
      </w:r>
      <w:r>
        <w:rPr>
          <w:lang w:val="ru-RU"/>
        </w:rPr>
        <w:t>ном порядке.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NormalWeb"/>
        <w:rPr>
          <w:lang w:val="ru-RU"/>
        </w:rPr>
      </w:pPr>
      <w:r>
        <w:rPr>
          <w:b/>
          <w:bCs/>
          <w:lang w:val="ru-RU"/>
        </w:rPr>
        <w:t>7.</w:t>
      </w:r>
      <w:r>
        <w:rPr>
          <w:lang w:val="ru-RU"/>
        </w:rPr>
        <w:t xml:space="preserve"> В случае двухставочных регулируемых цен на поставку электроэнергии расходы Поставщика делятся между двумя компонентами тарифа: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1) регулируемая цена на поставляемую электроэнергию, лей/кВт·ч;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2) тариф на договорную мощность, лей/кВт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В этом</w:t>
      </w:r>
      <w:r>
        <w:rPr>
          <w:lang w:val="ru-RU"/>
        </w:rPr>
        <w:t xml:space="preserve"> случае доходы Поставщика от поставки электроэнергии конечным потребителям по распределительным электросетям (</w:t>
      </w:r>
      <w:proofErr w:type="spellStart"/>
      <w:r>
        <w:t>VF</w:t>
      </w:r>
      <w:r>
        <w:rPr>
          <w:vertAlign w:val="subscript"/>
        </w:rPr>
        <w:t>nd</w:t>
      </w:r>
      <w:proofErr w:type="spellEnd"/>
      <w:r>
        <w:rPr>
          <w:lang w:val="ru-RU"/>
        </w:rPr>
        <w:t>) и, соответственно, необходимая оплата за поставляемую энергию в году «</w:t>
      </w:r>
      <w:r>
        <w:t>n</w:t>
      </w:r>
      <w:r>
        <w:rPr>
          <w:lang w:val="ru-RU"/>
        </w:rPr>
        <w:t>», которую должны осуществлять конечные потребители, электроустановки</w:t>
      </w:r>
      <w:r>
        <w:rPr>
          <w:lang w:val="ru-RU"/>
        </w:rPr>
        <w:t xml:space="preserve"> которых подключены к распределительным электросетям (</w:t>
      </w:r>
      <w:proofErr w:type="spellStart"/>
      <w:r>
        <w:t>PAC</w:t>
      </w:r>
      <w:r>
        <w:rPr>
          <w:vertAlign w:val="subscript"/>
        </w:rPr>
        <w:t>nd</w:t>
      </w:r>
      <w:proofErr w:type="spellEnd"/>
      <w:r>
        <w:rPr>
          <w:lang w:val="ru-RU"/>
        </w:rPr>
        <w:t xml:space="preserve">), определяются исходя из поставляемой </w:t>
      </w:r>
      <w:r>
        <w:rPr>
          <w:lang w:val="ru-RU"/>
        </w:rPr>
        <w:lastRenderedPageBreak/>
        <w:t xml:space="preserve">(потребляемой) электроэнергии, а также исходя из договорной мощности, заявленной конечными потребителями, согласно формуле: 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cn"/>
      </w:pPr>
      <w:proofErr w:type="spellStart"/>
      <w:r>
        <w:rPr>
          <w:i/>
          <w:iCs/>
        </w:rPr>
        <w:t>VF</w:t>
      </w:r>
      <w:r>
        <w:rPr>
          <w:i/>
          <w:iCs/>
          <w:vertAlign w:val="subscript"/>
        </w:rPr>
        <w:t>nd</w:t>
      </w:r>
      <w:proofErr w:type="spellEnd"/>
      <w:r>
        <w:rPr>
          <w:i/>
          <w:iCs/>
        </w:rPr>
        <w:t xml:space="preserve"> = </w:t>
      </w:r>
      <w:proofErr w:type="spellStart"/>
      <w:r>
        <w:rPr>
          <w:i/>
          <w:iCs/>
        </w:rPr>
        <w:t>PAC</w:t>
      </w:r>
      <w:r>
        <w:rPr>
          <w:i/>
          <w:iCs/>
          <w:vertAlign w:val="subscript"/>
        </w:rPr>
        <w:t>nd</w:t>
      </w:r>
      <w:proofErr w:type="spellEnd"/>
      <w:r>
        <w:rPr>
          <w:i/>
          <w:iCs/>
        </w:rPr>
        <w:t xml:space="preserve"> = </w:t>
      </w:r>
      <w:proofErr w:type="spellStart"/>
      <w:r>
        <w:rPr>
          <w:i/>
          <w:iCs/>
        </w:rPr>
        <w:t>EFC</w:t>
      </w:r>
      <w:r>
        <w:rPr>
          <w:i/>
          <w:iCs/>
          <w:vertAlign w:val="subscript"/>
        </w:rPr>
        <w:t>nd</w:t>
      </w:r>
      <w:proofErr w:type="spellEnd"/>
      <w:r>
        <w:rPr>
          <w:i/>
          <w:iCs/>
        </w:rPr>
        <w:t xml:space="preserve"> × </w:t>
      </w:r>
      <w:proofErr w:type="spellStart"/>
      <w:r>
        <w:rPr>
          <w:i/>
          <w:iCs/>
        </w:rPr>
        <w:t>PFE</w:t>
      </w:r>
      <w:r>
        <w:rPr>
          <w:i/>
          <w:iCs/>
          <w:vertAlign w:val="subscript"/>
        </w:rPr>
        <w:t>nd</w:t>
      </w:r>
      <w:proofErr w:type="spellEnd"/>
      <w:r>
        <w:rPr>
          <w:i/>
          <w:iCs/>
        </w:rPr>
        <w:t xml:space="preserve"> + </w:t>
      </w:r>
      <w:r>
        <w:rPr>
          <w:i/>
          <w:iCs/>
        </w:rPr>
        <w:t>∑</w:t>
      </w:r>
      <w:proofErr w:type="spellStart"/>
      <w:r>
        <w:rPr>
          <w:i/>
          <w:iCs/>
        </w:rPr>
        <w:t>TP</w:t>
      </w:r>
      <w:r>
        <w:rPr>
          <w:i/>
          <w:iCs/>
          <w:vertAlign w:val="subscript"/>
        </w:rPr>
        <w:t>nk</w:t>
      </w:r>
      <w:proofErr w:type="spellEnd"/>
      <w:r>
        <w:rPr>
          <w:i/>
          <w:iCs/>
        </w:rPr>
        <w:t xml:space="preserve"> × </w:t>
      </w:r>
      <w:proofErr w:type="spellStart"/>
      <w:proofErr w:type="gramStart"/>
      <w:r>
        <w:rPr>
          <w:i/>
          <w:iCs/>
        </w:rPr>
        <w:t>PC</w:t>
      </w:r>
      <w:r>
        <w:rPr>
          <w:i/>
          <w:iCs/>
          <w:vertAlign w:val="subscript"/>
        </w:rPr>
        <w:t>nk</w:t>
      </w:r>
      <w:proofErr w:type="spellEnd"/>
      <w:r>
        <w:t xml:space="preserve">  (</w:t>
      </w:r>
      <w:proofErr w:type="gramEnd"/>
      <w:r>
        <w:t xml:space="preserve">15) 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где: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EFC</w:t>
      </w:r>
      <w:r>
        <w:rPr>
          <w:i/>
          <w:iCs/>
          <w:vertAlign w:val="subscript"/>
        </w:rPr>
        <w:t>nd</w:t>
      </w:r>
      <w:proofErr w:type="spellEnd"/>
      <w:r w:rsidRPr="008635A7">
        <w:rPr>
          <w:i/>
          <w:iCs/>
          <w:lang w:val="ru-RU"/>
        </w:rPr>
        <w:t xml:space="preserve"> </w:t>
      </w:r>
      <w:r>
        <w:rPr>
          <w:lang w:val="ru-RU"/>
        </w:rPr>
        <w:t>– количество поставляемой электроэнергии конечным потребителям, электроустановки которых подключены к распределительным электросетям («</w:t>
      </w:r>
      <w:r>
        <w:t>TI</w:t>
      </w:r>
      <w:r>
        <w:rPr>
          <w:lang w:val="ru-RU"/>
        </w:rPr>
        <w:t>», «</w:t>
      </w:r>
      <w:r>
        <w:t>TM</w:t>
      </w:r>
      <w:r>
        <w:rPr>
          <w:lang w:val="ru-RU"/>
        </w:rPr>
        <w:t>», «</w:t>
      </w:r>
      <w:r>
        <w:t>TJ</w:t>
      </w:r>
      <w:r>
        <w:rPr>
          <w:lang w:val="ru-RU"/>
        </w:rPr>
        <w:t>»);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PFE</w:t>
      </w:r>
      <w:r>
        <w:rPr>
          <w:i/>
          <w:iCs/>
          <w:vertAlign w:val="subscript"/>
        </w:rPr>
        <w:t>nd</w:t>
      </w:r>
      <w:proofErr w:type="spellEnd"/>
      <w:r>
        <w:rPr>
          <w:lang w:val="ru-RU"/>
        </w:rPr>
        <w:t xml:space="preserve"> – регулируемая цена на поставляемую электроэнергию в году «</w:t>
      </w:r>
      <w:r>
        <w:t>n</w:t>
      </w:r>
      <w:r>
        <w:rPr>
          <w:lang w:val="ru-RU"/>
        </w:rPr>
        <w:t>» конечным потребителям, электроустановки которых подключены к распределительным электросетям, лей/кВт·ч. Эта цена определяется согласно формуле: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cn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Fonts w:ascii="Cambria Math" w:hAnsi="Cambria Math"/>
                  <w:lang w:val="ro-MO"/>
                </w:rPr>
                <m:t>PFE</m:t>
              </m:r>
            </m:e>
            <m:sub>
              <m:r>
                <w:rPr>
                  <w:rFonts w:ascii="Cambria Math" w:hAnsi="Cambria Math"/>
                  <w:lang w:val="ro-MO"/>
                </w:rPr>
                <m:t>nd</m:t>
              </m:r>
            </m:sub>
          </m:sSub>
          <m:r>
            <w:rPr>
              <w:rFonts w:ascii="Cambria Math" w:hAnsi="Cambria Math"/>
              <w:lang w:val="ro-M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o-M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CEP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EFC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lang w:val="ro-MO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Fonts w:ascii="Cambria Math" w:hAnsi="Cambria Math"/>
                  <w:lang w:val="ro-MO"/>
                </w:rPr>
                <m:t>PF</m:t>
              </m:r>
            </m:e>
            <m:sub>
              <m:r>
                <w:rPr>
                  <w:rFonts w:ascii="Cambria Math" w:hAnsi="Cambria Math"/>
                  <w:lang w:val="ro-MO"/>
                </w:rPr>
                <m:t>n</m:t>
              </m:r>
            </m:sub>
          </m:sSub>
          <m:r>
            <w:rPr>
              <w:rFonts w:ascii="Cambria Math" w:hAnsi="Cambria Math"/>
              <w:lang w:val="ro-MO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Fonts w:ascii="Cambria Math" w:hAnsi="Cambria Math"/>
                  <w:lang w:val="ro-MO"/>
                </w:rPr>
                <m:t>TT</m:t>
              </m:r>
            </m:e>
            <m:sub>
              <m:r>
                <w:rPr>
                  <w:rFonts w:ascii="Cambria Math" w:hAnsi="Cambria Math"/>
                  <w:lang w:val="ro-MO"/>
                </w:rPr>
                <m:t>n</m:t>
              </m:r>
            </m:sub>
          </m:sSub>
          <m:r>
            <w:rPr>
              <w:rFonts w:ascii="Cambria Math" w:hAnsi="Cambria Math"/>
              <w:lang w:val="ro-MO"/>
            </w:rPr>
            <m:t xml:space="preserve">  (16)</m:t>
          </m:r>
        </m:oMath>
      </m:oMathPara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 xml:space="preserve">где: 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PC</w:t>
      </w:r>
      <w:r>
        <w:rPr>
          <w:i/>
          <w:iCs/>
          <w:vertAlign w:val="subscript"/>
        </w:rPr>
        <w:t>nk</w:t>
      </w:r>
      <w:proofErr w:type="spellEnd"/>
      <w:r>
        <w:rPr>
          <w:lang w:val="ru-RU"/>
        </w:rPr>
        <w:t xml:space="preserve"> –договорная мощность, заявленная в году «</w:t>
      </w:r>
      <w:r>
        <w:t>n</w:t>
      </w:r>
      <w:r>
        <w:rPr>
          <w:lang w:val="ru-RU"/>
        </w:rPr>
        <w:t>» конеч</w:t>
      </w:r>
      <w:r>
        <w:rPr>
          <w:lang w:val="ru-RU"/>
        </w:rPr>
        <w:t>ными потребителями, электроустановки которых подключены к распределительным электросетям, соответствующим уровню напряжения «</w:t>
      </w:r>
      <w:r>
        <w:t>k</w:t>
      </w:r>
      <w:r>
        <w:rPr>
          <w:lang w:val="ru-RU"/>
        </w:rPr>
        <w:t>», кВт;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TP</w:t>
      </w:r>
      <w:r>
        <w:rPr>
          <w:i/>
          <w:iCs/>
          <w:vertAlign w:val="subscript"/>
        </w:rPr>
        <w:t>nk</w:t>
      </w:r>
      <w:proofErr w:type="spellEnd"/>
      <w:r>
        <w:rPr>
          <w:lang w:val="ru-RU"/>
        </w:rPr>
        <w:t xml:space="preserve"> – тариф в году «</w:t>
      </w:r>
      <w:r>
        <w:t>n</w:t>
      </w:r>
      <w:r>
        <w:rPr>
          <w:lang w:val="ru-RU"/>
        </w:rPr>
        <w:t>» на заявленную электрическую мощность, относящийся к распределительным электросетям с уровнем напря</w:t>
      </w:r>
      <w:r>
        <w:rPr>
          <w:lang w:val="ru-RU"/>
        </w:rPr>
        <w:t>жения «</w:t>
      </w:r>
      <w:r>
        <w:t>k</w:t>
      </w:r>
      <w:r>
        <w:rPr>
          <w:lang w:val="ru-RU"/>
        </w:rPr>
        <w:t>», лей/кВт. Тарифы на заявленную электрическую мощность определяются в соответствии с Методологией расчета, утверждения и пересмотра тарифов на услуги по распределению электроэнергии и утверждаются Агентством в установленном законом порядке в леях/</w:t>
      </w:r>
      <w:r>
        <w:rPr>
          <w:lang w:val="ru-RU"/>
        </w:rPr>
        <w:t>кВт/месяц по каждому уровню напряжения распределительных электросетей («</w:t>
      </w:r>
      <w:r>
        <w:t>TI</w:t>
      </w:r>
      <w:r>
        <w:rPr>
          <w:lang w:val="ru-RU"/>
        </w:rPr>
        <w:t>», «</w:t>
      </w:r>
      <w:r>
        <w:t>TM</w:t>
      </w:r>
      <w:r>
        <w:rPr>
          <w:lang w:val="ru-RU"/>
        </w:rPr>
        <w:t>» и «</w:t>
      </w:r>
      <w:r>
        <w:t>TJ</w:t>
      </w:r>
      <w:r>
        <w:rPr>
          <w:lang w:val="ru-RU"/>
        </w:rPr>
        <w:t>»).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NormalWeb"/>
        <w:rPr>
          <w:lang w:val="ru-RU"/>
        </w:rPr>
      </w:pPr>
      <w:r>
        <w:rPr>
          <w:b/>
          <w:bCs/>
          <w:lang w:val="ru-RU"/>
        </w:rPr>
        <w:t>8.</w:t>
      </w:r>
      <w:r>
        <w:rPr>
          <w:lang w:val="ru-RU"/>
        </w:rPr>
        <w:t xml:space="preserve"> Как одноставочные регулируемые цены на поставку электроэнергии, так и двухставочные регулируемые цены могут быть дифференцированы в зависимости от часов потребл</w:t>
      </w:r>
      <w:r>
        <w:rPr>
          <w:lang w:val="ru-RU"/>
        </w:rPr>
        <w:t>ения. Регулируемые цены на поставку электроэнергии в зависимости от часов потребления определяются Поставщиком и утверждаются Агентством согласно закону исходя из условий, предусмотренных в контрактах на приобретение электроэнергии у местных производителей</w:t>
      </w:r>
      <w:r>
        <w:rPr>
          <w:lang w:val="ru-RU"/>
        </w:rPr>
        <w:t xml:space="preserve">, и по импорту, относительно закупочных цен на электроэнергию, дифференцированных в зависимости от часов потребления (дневные часы, ночные часы и часы пик). В этом случае регулируемые цены на поставку электроэнергии определяются в соответствии с формулами </w:t>
      </w:r>
      <w:r>
        <w:rPr>
          <w:lang w:val="ru-RU"/>
        </w:rPr>
        <w:t>(9), (11)–(16) Методологии, для каждого интервала часов потребления исходя из стоимости приобретаемой электроэнергии, которая определяется раздельно для каждого интервала часов потребления, в то время как другие компоненты регулируемых цен не зависят от ча</w:t>
      </w:r>
      <w:r>
        <w:rPr>
          <w:lang w:val="ru-RU"/>
        </w:rPr>
        <w:t>сов потребления.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cp"/>
        <w:rPr>
          <w:lang w:val="ru-RU"/>
        </w:rPr>
      </w:pPr>
      <w:r>
        <w:rPr>
          <w:lang w:val="ru-RU"/>
        </w:rPr>
        <w:t>Раздел 4</w:t>
      </w:r>
    </w:p>
    <w:p w:rsidR="00000000" w:rsidRDefault="008F0830">
      <w:pPr>
        <w:pStyle w:val="cp"/>
        <w:rPr>
          <w:lang w:val="ru-RU"/>
        </w:rPr>
      </w:pPr>
      <w:r>
        <w:rPr>
          <w:lang w:val="ru-RU"/>
        </w:rPr>
        <w:t>ОПРЕДЕЛЕНИЕ ЗАТРАТ И РАСХОДОВ</w:t>
      </w:r>
    </w:p>
    <w:p w:rsidR="00000000" w:rsidRDefault="008F0830">
      <w:pPr>
        <w:pStyle w:val="NormalWeb"/>
        <w:rPr>
          <w:lang w:val="ru-RU"/>
        </w:rPr>
      </w:pPr>
      <w:r>
        <w:rPr>
          <w:b/>
          <w:bCs/>
          <w:lang w:val="ru-RU"/>
        </w:rPr>
        <w:t>9.</w:t>
      </w:r>
      <w:r>
        <w:rPr>
          <w:lang w:val="ru-RU"/>
        </w:rPr>
        <w:t xml:space="preserve"> Как уже было отмечено в п.4 Методологии, в состав всех затрат и расходов Поставщика включено следующее: стоимость электроэнергии, приобретаемой Поставщиком для поставки в регулируемый год «</w:t>
      </w:r>
      <w:r>
        <w:t>n</w:t>
      </w:r>
      <w:r>
        <w:rPr>
          <w:lang w:val="ru-RU"/>
        </w:rPr>
        <w:t>» всем потребителям (</w:t>
      </w:r>
      <w:proofErr w:type="spellStart"/>
      <w:r>
        <w:t>CEP</w:t>
      </w:r>
      <w:r>
        <w:rPr>
          <w:vertAlign w:val="subscript"/>
        </w:rPr>
        <w:t>n</w:t>
      </w:r>
      <w:proofErr w:type="spellEnd"/>
      <w:r>
        <w:rPr>
          <w:lang w:val="ru-RU"/>
        </w:rPr>
        <w:t>), затраты за предоставленные Поставщику оператором передающей системы услуги по передаче электроэнергии (</w:t>
      </w:r>
      <w:proofErr w:type="spellStart"/>
      <w:r>
        <w:t>CST</w:t>
      </w:r>
      <w:r>
        <w:rPr>
          <w:vertAlign w:val="subscript"/>
        </w:rPr>
        <w:t>n</w:t>
      </w:r>
      <w:proofErr w:type="spellEnd"/>
      <w:r>
        <w:rPr>
          <w:lang w:val="ru-RU"/>
        </w:rPr>
        <w:t>), затраты за предоставленные Поставщику оператором распределительной системы услуги по распределению электроэнергии (</w:t>
      </w:r>
      <w:proofErr w:type="spellStart"/>
      <w:r>
        <w:t>CSD</w:t>
      </w:r>
      <w:r>
        <w:rPr>
          <w:vertAlign w:val="subscript"/>
        </w:rPr>
        <w:t>n</w:t>
      </w:r>
      <w:proofErr w:type="spellEnd"/>
      <w:r>
        <w:rPr>
          <w:lang w:val="ru-RU"/>
        </w:rPr>
        <w:t>), а также затраты и расходы Поставщика, связанные с осуществлением деятельности по поставке электроэнергии (</w:t>
      </w:r>
      <w:proofErr w:type="spellStart"/>
      <w:r>
        <w:t>CSF</w:t>
      </w:r>
      <w:r>
        <w:rPr>
          <w:vertAlign w:val="subscript"/>
        </w:rPr>
        <w:t>n</w:t>
      </w:r>
      <w:proofErr w:type="spellEnd"/>
      <w:r>
        <w:rPr>
          <w:lang w:val="ru-RU"/>
        </w:rPr>
        <w:t>).</w:t>
      </w:r>
    </w:p>
    <w:p w:rsidR="00000000" w:rsidRDefault="008F0830">
      <w:pPr>
        <w:pStyle w:val="NormalWeb"/>
        <w:rPr>
          <w:lang w:val="ru-RU"/>
        </w:rPr>
      </w:pPr>
      <w:r>
        <w:rPr>
          <w:b/>
          <w:bCs/>
          <w:lang w:val="ru-RU"/>
        </w:rPr>
        <w:lastRenderedPageBreak/>
        <w:t>10.</w:t>
      </w:r>
      <w:r>
        <w:rPr>
          <w:lang w:val="ru-RU"/>
        </w:rPr>
        <w:t xml:space="preserve"> Стоимость приобретаемой электроэнергии в регулируемый год «</w:t>
      </w:r>
      <w:r>
        <w:t>n</w:t>
      </w:r>
      <w:r>
        <w:rPr>
          <w:lang w:val="ru-RU"/>
        </w:rPr>
        <w:t>» определяется исходя из количества приобретенной электроэнергии для ее пос</w:t>
      </w:r>
      <w:r>
        <w:rPr>
          <w:lang w:val="ru-RU"/>
        </w:rPr>
        <w:t>тавки всем потребителям, которых обслуживает Поставщик, и закупочных цен на эту электроэнергию, согласно формуле: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cn"/>
        <w:rPr>
          <w:lang w:val="ru-RU"/>
        </w:rPr>
      </w:pPr>
      <w:proofErr w:type="spellStart"/>
      <w:r>
        <w:rPr>
          <w:i/>
          <w:iCs/>
        </w:rPr>
        <w:t>CEP</w:t>
      </w:r>
      <w:r>
        <w:rPr>
          <w:i/>
          <w:iCs/>
          <w:vertAlign w:val="subscript"/>
        </w:rPr>
        <w:t>n</w:t>
      </w:r>
      <w:proofErr w:type="spellEnd"/>
      <w:r>
        <w:rPr>
          <w:i/>
          <w:iCs/>
          <w:lang w:val="ru-RU"/>
        </w:rPr>
        <w:t xml:space="preserve"> = </w:t>
      </w:r>
      <w:proofErr w:type="spellStart"/>
      <w:r>
        <w:rPr>
          <w:i/>
          <w:iCs/>
        </w:rPr>
        <w:t>EP</w:t>
      </w:r>
      <w:r>
        <w:rPr>
          <w:i/>
          <w:iCs/>
          <w:vertAlign w:val="subscript"/>
        </w:rPr>
        <w:t>n</w:t>
      </w:r>
      <w:proofErr w:type="spellEnd"/>
      <w:r>
        <w:rPr>
          <w:i/>
          <w:iCs/>
          <w:lang w:val="ru-RU"/>
        </w:rPr>
        <w:t xml:space="preserve"> × </w:t>
      </w:r>
      <w:proofErr w:type="spellStart"/>
      <w:proofErr w:type="gramStart"/>
      <w:r>
        <w:rPr>
          <w:i/>
          <w:iCs/>
        </w:rPr>
        <w:t>PE</w:t>
      </w:r>
      <w:r>
        <w:rPr>
          <w:i/>
          <w:iCs/>
          <w:vertAlign w:val="subscript"/>
        </w:rPr>
        <w:t>n</w:t>
      </w:r>
      <w:proofErr w:type="spellEnd"/>
      <w:proofErr w:type="gramEnd"/>
      <w:r w:rsidRPr="008635A7">
        <w:rPr>
          <w:lang w:val="ru-RU"/>
        </w:rPr>
        <w:t xml:space="preserve"> </w:t>
      </w:r>
      <w:proofErr w:type="gramStart"/>
      <w:r>
        <w:t> </w:t>
      </w:r>
      <w:r>
        <w:rPr>
          <w:lang w:val="ru-RU"/>
        </w:rPr>
        <w:t>(</w:t>
      </w:r>
      <w:proofErr w:type="gramEnd"/>
      <w:r>
        <w:rPr>
          <w:lang w:val="ru-RU"/>
        </w:rPr>
        <w:t xml:space="preserve">17) 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 xml:space="preserve">где: 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EP</w:t>
      </w:r>
      <w:r>
        <w:rPr>
          <w:i/>
          <w:iCs/>
          <w:vertAlign w:val="subscript"/>
        </w:rPr>
        <w:t>n</w:t>
      </w:r>
      <w:proofErr w:type="spellEnd"/>
      <w:r>
        <w:rPr>
          <w:lang w:val="ru-RU"/>
        </w:rPr>
        <w:t xml:space="preserve"> – общее количество электроэнергии, которую Поставщик должен приобрести в году «</w:t>
      </w:r>
      <w:r>
        <w:t>n</w:t>
      </w:r>
      <w:r>
        <w:rPr>
          <w:lang w:val="ru-RU"/>
        </w:rPr>
        <w:t>» для снабжения всех потре</w:t>
      </w:r>
      <w:r>
        <w:rPr>
          <w:lang w:val="ru-RU"/>
        </w:rPr>
        <w:t>бителей, обслуживаемых Поставщиком, а также по необходимости и оператора передающей системы и операторов распределительных систем, кВт·ч;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PE</w:t>
      </w:r>
      <w:r>
        <w:rPr>
          <w:i/>
          <w:iCs/>
          <w:vertAlign w:val="subscript"/>
        </w:rPr>
        <w:t>n</w:t>
      </w:r>
      <w:proofErr w:type="spellEnd"/>
      <w:r>
        <w:rPr>
          <w:lang w:val="ru-RU"/>
        </w:rPr>
        <w:t xml:space="preserve"> – средняя цена закупки электроэнергии Поставщиком в году «</w:t>
      </w:r>
      <w:r>
        <w:t>n</w:t>
      </w:r>
      <w:r>
        <w:rPr>
          <w:lang w:val="ru-RU"/>
        </w:rPr>
        <w:t>» от местных производителей и по импорту, лей/кВт·ч. Эт</w:t>
      </w:r>
      <w:r>
        <w:rPr>
          <w:lang w:val="ru-RU"/>
        </w:rPr>
        <w:t>а цена основывается на ценах, утвержденных Агентством в случае покупки электроэнергии у регулируемых отечественных производителей, и на ценах, предусмотренных в договорах о покупке электроэнергии, в случае покупки импортируемой электроэнергии, а также у те</w:t>
      </w:r>
      <w:r>
        <w:rPr>
          <w:lang w:val="ru-RU"/>
        </w:rPr>
        <w:t>х производителей, цены которых не регламентированы. Эта цена определяется следующим образом: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cn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Fonts w:ascii="Cambria Math" w:hAnsi="Cambria Math"/>
                  <w:lang w:val="ro-MO"/>
                </w:rPr>
                <m:t>PE</m:t>
              </m:r>
            </m:e>
            <m:sub>
              <m:r>
                <w:rPr>
                  <w:rFonts w:ascii="Cambria Math" w:hAnsi="Cambria Math"/>
                  <w:lang w:val="ro-MO"/>
                </w:rPr>
                <m:t>n</m:t>
              </m:r>
            </m:sub>
          </m:sSub>
          <m:r>
            <w:rPr>
              <w:rFonts w:ascii="Cambria Math" w:hAnsi="Cambria Math"/>
              <w:lang w:val="ro-M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o-MO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lang w:val="ro-MO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o-M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o-MO"/>
                        </w:rPr>
                        <m:t>PER</m:t>
                      </m:r>
                    </m:e>
                    <m:sub>
                      <m:r>
                        <w:rPr>
                          <w:rFonts w:ascii="Cambria Math" w:hAnsi="Cambria Math"/>
                          <w:lang w:val="ro-MO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lang w:val="ro-MO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o-M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o-MO"/>
                        </w:rPr>
                        <m:t>EPR</m:t>
                      </m:r>
                    </m:e>
                    <m:sub>
                      <m:r>
                        <w:rPr>
                          <w:rFonts w:ascii="Cambria Math" w:hAnsi="Cambria Math"/>
                          <w:lang w:val="ro-MO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lang w:val="ro-MO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o-M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o-MO"/>
                        </w:rPr>
                        <m:t>PELS</m:t>
                      </m:r>
                    </m:e>
                    <m:sub>
                      <m:r>
                        <w:rPr>
                          <w:rFonts w:ascii="Cambria Math" w:hAnsi="Cambria Math"/>
                          <w:lang w:val="ro-MO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lang w:val="ro-MO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o-M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o-MO"/>
                        </w:rPr>
                        <m:t>EPL</m:t>
                      </m:r>
                    </m:e>
                    <m:sub>
                      <m:r>
                        <w:rPr>
                          <w:rFonts w:ascii="Cambria Math" w:hAnsi="Cambria Math"/>
                          <w:lang w:val="ro-MO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lang w:val="ro-MO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o-M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o-MO"/>
                        </w:rPr>
                        <m:t>PEB</m:t>
                      </m:r>
                    </m:e>
                    <m:sub>
                      <m:r>
                        <w:rPr>
                          <w:rFonts w:ascii="Cambria Math" w:hAnsi="Cambria Math"/>
                          <w:lang w:val="ro-MO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lang w:val="ro-MO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o-M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o-MO"/>
                        </w:rPr>
                        <m:t>EPB</m:t>
                      </m:r>
                    </m:e>
                    <m:sub>
                      <m:r>
                        <w:rPr>
                          <w:rFonts w:ascii="Cambria Math" w:hAnsi="Cambria Math"/>
                          <w:lang w:val="ro-MO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lang w:val="ro-MO"/>
                    </w:rPr>
                    <m:t>)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MO"/>
                    </w:rPr>
                    <m:t>EPT</m:t>
                  </m:r>
                </m:e>
                <m:sub>
                  <m:r>
                    <w:rPr>
                      <w:rFonts w:ascii="Cambria Math" w:hAnsi="Cambria Math"/>
                      <w:lang w:val="ro-MO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lang w:val="ro-MO"/>
            </w:rPr>
            <m:t xml:space="preserve">    (18)</m:t>
          </m:r>
        </m:oMath>
      </m:oMathPara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где: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PER</w:t>
      </w:r>
      <w:r>
        <w:rPr>
          <w:i/>
          <w:iCs/>
          <w:vertAlign w:val="subscript"/>
        </w:rPr>
        <w:t>n</w:t>
      </w:r>
      <w:proofErr w:type="spellEnd"/>
      <w:r w:rsidRPr="008635A7">
        <w:rPr>
          <w:lang w:val="ru-RU"/>
        </w:rPr>
        <w:t xml:space="preserve"> </w:t>
      </w:r>
      <w:r>
        <w:rPr>
          <w:lang w:val="ru-RU"/>
        </w:rPr>
        <w:t>– средневзвешенная цена покупки электроэнергии Поставщиком в году «</w:t>
      </w:r>
      <w:r>
        <w:t>n</w:t>
      </w:r>
      <w:r>
        <w:rPr>
          <w:lang w:val="ru-RU"/>
        </w:rPr>
        <w:t>» от местных производителей, цены которых регулируются государством, лей/ кВт·ч;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EPR</w:t>
      </w:r>
      <w:r>
        <w:rPr>
          <w:i/>
          <w:iCs/>
          <w:vertAlign w:val="subscript"/>
        </w:rPr>
        <w:t>n</w:t>
      </w:r>
      <w:proofErr w:type="spellEnd"/>
      <w:r>
        <w:rPr>
          <w:lang w:val="ru-RU"/>
        </w:rPr>
        <w:t xml:space="preserve"> – количество электроэнергии, приобретаемой Поставщиком в году «</w:t>
      </w:r>
      <w:r>
        <w:t>n</w:t>
      </w:r>
      <w:r>
        <w:rPr>
          <w:lang w:val="ru-RU"/>
        </w:rPr>
        <w:t>» от местных производителей, цены которых регулируются государством, кВт·ч;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PELS</w:t>
      </w:r>
      <w:r>
        <w:rPr>
          <w:i/>
          <w:iCs/>
          <w:vertAlign w:val="subscript"/>
        </w:rPr>
        <w:t>n</w:t>
      </w:r>
      <w:proofErr w:type="spellEnd"/>
      <w:r>
        <w:rPr>
          <w:lang w:val="ru-RU"/>
        </w:rPr>
        <w:t xml:space="preserve"> – средневзвешенная цена </w:t>
      </w:r>
      <w:r>
        <w:rPr>
          <w:lang w:val="ru-RU"/>
        </w:rPr>
        <w:t>со стимулом закупки Поставщиком в году «</w:t>
      </w:r>
      <w:r>
        <w:t>n</w:t>
      </w:r>
      <w:r>
        <w:rPr>
          <w:lang w:val="ru-RU"/>
        </w:rPr>
        <w:t>» импортируемой электроэнергии, а также электроэнергии из местных источников по свободным (нерегулируемым) рыночным ценам, лей/кВт·ч. Эта цена определяется по формуле: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cn"/>
      </w:pPr>
      <w:proofErr w:type="spellStart"/>
      <w:r>
        <w:rPr>
          <w:i/>
          <w:iCs/>
        </w:rPr>
        <w:t>PELS</w:t>
      </w:r>
      <w:r>
        <w:rPr>
          <w:i/>
          <w:iCs/>
          <w:vertAlign w:val="subscript"/>
        </w:rPr>
        <w:t>n</w:t>
      </w:r>
      <w:proofErr w:type="spellEnd"/>
      <w:r>
        <w:rPr>
          <w:i/>
          <w:iCs/>
        </w:rPr>
        <w:t xml:space="preserve"> = </w:t>
      </w:r>
      <w:proofErr w:type="spellStart"/>
      <w:r>
        <w:rPr>
          <w:i/>
          <w:iCs/>
        </w:rPr>
        <w:t>PEL</w:t>
      </w:r>
      <w:r>
        <w:rPr>
          <w:i/>
          <w:iCs/>
          <w:vertAlign w:val="subscript"/>
        </w:rPr>
        <w:t>n</w:t>
      </w:r>
      <w:proofErr w:type="spellEnd"/>
      <w:r>
        <w:rPr>
          <w:i/>
          <w:iCs/>
        </w:rPr>
        <w:t xml:space="preserve"> + K × (PEL</w:t>
      </w:r>
      <w:r>
        <w:rPr>
          <w:i/>
          <w:iCs/>
          <w:vertAlign w:val="subscript"/>
        </w:rPr>
        <w:t>n-1</w:t>
      </w:r>
      <w:r>
        <w:rPr>
          <w:i/>
          <w:iCs/>
        </w:rPr>
        <w:t xml:space="preserve"> – </w:t>
      </w:r>
      <w:proofErr w:type="spellStart"/>
      <w:r>
        <w:rPr>
          <w:i/>
          <w:iCs/>
        </w:rPr>
        <w:t>PEL</w:t>
      </w:r>
      <w:r>
        <w:rPr>
          <w:i/>
          <w:iCs/>
          <w:vertAlign w:val="subscript"/>
        </w:rPr>
        <w:t>n</w:t>
      </w:r>
      <w:proofErr w:type="spellEnd"/>
      <w:r>
        <w:rPr>
          <w:i/>
          <w:iCs/>
        </w:rPr>
        <w:t>)</w:t>
      </w:r>
      <w:proofErr w:type="gramStart"/>
      <w:r>
        <w:t>  (</w:t>
      </w:r>
      <w:proofErr w:type="gramEnd"/>
      <w:r>
        <w:t xml:space="preserve">19) </w:t>
      </w:r>
    </w:p>
    <w:p w:rsidR="00000000" w:rsidRDefault="008F0830">
      <w:pPr>
        <w:pStyle w:val="NormalWeb"/>
        <w:rPr>
          <w:lang w:val="ru-RU"/>
        </w:rPr>
      </w:pPr>
      <w:r>
        <w:rPr>
          <w:lang w:val="ru-RU"/>
        </w:rPr>
        <w:t>где</w:t>
      </w:r>
      <w:r>
        <w:rPr>
          <w:lang w:val="ru-RU"/>
        </w:rPr>
        <w:t>: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PEL</w:t>
      </w:r>
      <w:r>
        <w:rPr>
          <w:b/>
          <w:bCs/>
          <w:i/>
          <w:iCs/>
          <w:vertAlign w:val="subscript"/>
        </w:rPr>
        <w:t>n</w:t>
      </w:r>
      <w:proofErr w:type="spellEnd"/>
      <w:r>
        <w:rPr>
          <w:i/>
          <w:iCs/>
          <w:lang w:val="ru-RU"/>
        </w:rPr>
        <w:t xml:space="preserve"> – </w:t>
      </w:r>
      <w:r>
        <w:rPr>
          <w:lang w:val="ru-RU"/>
        </w:rPr>
        <w:t>средневзвешенная цена закупки Поставщиком в году «</w:t>
      </w:r>
      <w:r>
        <w:t>n</w:t>
      </w:r>
      <w:r>
        <w:rPr>
          <w:lang w:val="ru-RU"/>
        </w:rPr>
        <w:t>» импортируемой электроэнергии, а также электроэнергии из местных источников по свободным рыночным ценам, лей/кВт·ч;</w:t>
      </w:r>
    </w:p>
    <w:p w:rsidR="00000000" w:rsidRDefault="008F0830">
      <w:pPr>
        <w:pStyle w:val="NormalWeb"/>
        <w:rPr>
          <w:lang w:val="ru-RU"/>
        </w:rPr>
      </w:pPr>
      <w:proofErr w:type="spellStart"/>
      <w:r>
        <w:rPr>
          <w:i/>
          <w:iCs/>
        </w:rPr>
        <w:t>PEL</w:t>
      </w:r>
      <w:r>
        <w:rPr>
          <w:i/>
          <w:iCs/>
          <w:vertAlign w:val="subscript"/>
        </w:rPr>
        <w:t>n</w:t>
      </w:r>
      <w:proofErr w:type="spellEnd"/>
      <w:r>
        <w:rPr>
          <w:i/>
          <w:iCs/>
          <w:vertAlign w:val="subscript"/>
          <w:lang w:val="ru-RU"/>
        </w:rPr>
        <w:t>-1</w:t>
      </w:r>
      <w:r>
        <w:rPr>
          <w:lang w:val="ru-RU"/>
        </w:rPr>
        <w:t xml:space="preserve"> – фактическая средневзвешенная цена закупки Поставщиком в предыдущем год</w:t>
      </w:r>
      <w:r>
        <w:rPr>
          <w:lang w:val="ru-RU"/>
        </w:rPr>
        <w:t>у (</w:t>
      </w:r>
      <w:r>
        <w:t>n</w:t>
      </w:r>
      <w:r>
        <w:rPr>
          <w:lang w:val="ru-RU"/>
        </w:rPr>
        <w:t>-1) импортируемой электроэнергии, а также электроэнергии из местных источников по свободным рыночным ценам, лей/кВт·ч;</w:t>
      </w:r>
    </w:p>
    <w:p w:rsidR="00000000" w:rsidRPr="008635A7" w:rsidRDefault="008F0830">
      <w:pPr>
        <w:pStyle w:val="NormalWeb"/>
        <w:rPr>
          <w:rStyle w:val="msoins0"/>
          <w:lang w:val="ru-RU"/>
        </w:rPr>
      </w:pPr>
      <w:r>
        <w:rPr>
          <w:i/>
          <w:iCs/>
        </w:rPr>
        <w:t>K</w:t>
      </w:r>
      <w:r>
        <w:rPr>
          <w:lang w:val="ru-RU"/>
        </w:rPr>
        <w:t xml:space="preserve"> – коэффициент стимулирования, который равен 0,5 в случае, если </w:t>
      </w:r>
      <w:proofErr w:type="spellStart"/>
      <w:r>
        <w:t>PEL</w:t>
      </w:r>
      <w:r>
        <w:rPr>
          <w:vertAlign w:val="subscript"/>
        </w:rPr>
        <w:t>n</w:t>
      </w:r>
      <w:proofErr w:type="spellEnd"/>
      <w:r>
        <w:rPr>
          <w:lang w:val="ru-RU"/>
        </w:rPr>
        <w:t xml:space="preserve"> меньше чем </w:t>
      </w:r>
      <w:proofErr w:type="spellStart"/>
      <w:r>
        <w:t>PEL</w:t>
      </w:r>
      <w:r>
        <w:rPr>
          <w:vertAlign w:val="subscript"/>
        </w:rPr>
        <w:t>n</w:t>
      </w:r>
      <w:proofErr w:type="spellEnd"/>
      <w:r>
        <w:rPr>
          <w:vertAlign w:val="subscript"/>
          <w:lang w:val="ru-RU"/>
        </w:rPr>
        <w:t>-1.</w:t>
      </w:r>
      <w:r>
        <w:rPr>
          <w:lang w:val="ru-RU"/>
        </w:rPr>
        <w:t xml:space="preserve"> Во всех остальных случаях </w:t>
      </w:r>
      <w:r>
        <w:t>K</w:t>
      </w:r>
      <w:r>
        <w:rPr>
          <w:lang w:val="ru-RU"/>
        </w:rPr>
        <w:t>=0. Коэффициент с</w:t>
      </w:r>
      <w:r>
        <w:rPr>
          <w:lang w:val="ru-RU"/>
        </w:rPr>
        <w:t xml:space="preserve">тимулирования предусматривает только стимулирование эффективного управления закупок электроэнергии Поставщиком таким образом, чтобы закупочные цены были наиболее низкими на рынке. </w:t>
      </w:r>
      <w:r>
        <w:rPr>
          <w:rStyle w:val="msoins0"/>
          <w:lang w:val="ru-RU"/>
        </w:rPr>
        <w:t>При определении коэффициент</w:t>
      </w:r>
      <w:r>
        <w:rPr>
          <w:rStyle w:val="msoins0"/>
          <w:lang w:val="ru-RU"/>
        </w:rPr>
        <w:t>а</w:t>
      </w:r>
      <w:r>
        <w:rPr>
          <w:rStyle w:val="msoins0"/>
        </w:rPr>
        <w:t> </w:t>
      </w:r>
      <w:r>
        <w:rPr>
          <w:rStyle w:val="msoins0"/>
          <w:lang w:val="ru-RU"/>
        </w:rPr>
        <w:t>стимулировани</w:t>
      </w:r>
      <w:r>
        <w:rPr>
          <w:rStyle w:val="msoins0"/>
          <w:lang w:val="ru-RU"/>
        </w:rPr>
        <w:t>я</w:t>
      </w:r>
      <w:r>
        <w:rPr>
          <w:rStyle w:val="msoins0"/>
        </w:rPr>
        <w:t> </w:t>
      </w:r>
      <w:r>
        <w:rPr>
          <w:rStyle w:val="msoins0"/>
          <w:lang w:val="ru-RU"/>
        </w:rPr>
        <w:t>не будут учитываться</w:t>
      </w:r>
      <w:r>
        <w:rPr>
          <w:rStyle w:val="msoins0"/>
        </w:rPr>
        <w:t> </w:t>
      </w:r>
      <w:r w:rsidRPr="008635A7">
        <w:rPr>
          <w:rStyle w:val="msoins0"/>
          <w:lang w:val="ru-RU"/>
        </w:rPr>
        <w:t>снижения це</w:t>
      </w:r>
      <w:r w:rsidRPr="008635A7">
        <w:rPr>
          <w:rStyle w:val="msoins0"/>
          <w:lang w:val="ru-RU"/>
        </w:rPr>
        <w:t>н</w:t>
      </w:r>
      <w:r>
        <w:rPr>
          <w:rStyle w:val="msoins0"/>
        </w:rPr>
        <w:t> </w:t>
      </w:r>
      <w:r>
        <w:rPr>
          <w:lang w:val="ru-RU"/>
        </w:rPr>
        <w:t>по сравнению с предыдущим годом в результате изменения валютного курса молдавского лея по отношению к валюте, по которой приобретается энергия, снижен</w:t>
      </w:r>
      <w:r>
        <w:rPr>
          <w:lang w:val="ru-RU"/>
        </w:rPr>
        <w:t>и</w:t>
      </w:r>
      <w:r>
        <w:rPr>
          <w:lang w:val="ru-RU"/>
        </w:rPr>
        <w:t>е</w:t>
      </w:r>
      <w:r>
        <w:rPr>
          <w:rStyle w:val="msoins0"/>
          <w:lang w:val="ru-RU"/>
        </w:rPr>
        <w:t> </w:t>
      </w:r>
      <w:r>
        <w:rPr>
          <w:lang w:val="ru-RU"/>
        </w:rPr>
        <w:t>це</w:t>
      </w:r>
      <w:r>
        <w:rPr>
          <w:lang w:val="ru-RU"/>
        </w:rPr>
        <w:t>н</w:t>
      </w:r>
      <w:r>
        <w:t> </w:t>
      </w:r>
      <w:r>
        <w:rPr>
          <w:lang w:val="ru-RU"/>
        </w:rPr>
        <w:t>в результате переговоров, проводимых правительственными органами</w:t>
      </w:r>
      <w:r>
        <w:rPr>
          <w:lang w:val="ru-RU"/>
        </w:rPr>
        <w:t>,</w:t>
      </w:r>
      <w:r>
        <w:rPr>
          <w:rStyle w:val="msoins0"/>
        </w:rPr>
        <w:t> </w:t>
      </w:r>
      <w:r w:rsidRPr="008635A7">
        <w:rPr>
          <w:rStyle w:val="msoins0"/>
          <w:lang w:val="ru-RU"/>
        </w:rPr>
        <w:t>ил</w:t>
      </w:r>
      <w:r w:rsidRPr="008635A7">
        <w:rPr>
          <w:rStyle w:val="msoins0"/>
          <w:lang w:val="ru-RU"/>
        </w:rPr>
        <w:t>и</w:t>
      </w:r>
      <w:r>
        <w:rPr>
          <w:rStyle w:val="msoins0"/>
        </w:rPr>
        <w:t> </w:t>
      </w:r>
      <w:r>
        <w:rPr>
          <w:lang w:val="ru-RU"/>
        </w:rPr>
        <w:t>в результате снижения цен н</w:t>
      </w:r>
      <w:r>
        <w:rPr>
          <w:lang w:val="ru-RU"/>
        </w:rPr>
        <w:t>а международном энергетическом рынк</w:t>
      </w:r>
      <w:r>
        <w:rPr>
          <w:lang w:val="ru-RU"/>
        </w:rPr>
        <w:t>е</w:t>
      </w:r>
      <w:r>
        <w:rPr>
          <w:lang w:val="ru-RU"/>
        </w:rPr>
        <w:t>,</w:t>
      </w:r>
      <w:r>
        <w:rPr>
          <w:rStyle w:val="msoins0"/>
          <w:lang w:val="ru-RU"/>
        </w:rPr>
        <w:t> </w:t>
      </w:r>
      <w:r>
        <w:rPr>
          <w:rStyle w:val="msoins0"/>
          <w:lang w:val="ru-RU"/>
        </w:rPr>
        <w:t>а такж</w:t>
      </w:r>
      <w:r>
        <w:rPr>
          <w:rStyle w:val="msoins0"/>
          <w:lang w:val="ru-RU"/>
        </w:rPr>
        <w:t>е</w:t>
      </w:r>
      <w:r>
        <w:rPr>
          <w:rStyle w:val="msoins0"/>
        </w:rPr>
        <w:t> </w:t>
      </w:r>
      <w:r>
        <w:rPr>
          <w:lang w:val="ru-RU"/>
        </w:rPr>
        <w:t>други</w:t>
      </w:r>
      <w:r>
        <w:rPr>
          <w:lang w:val="ru-RU"/>
        </w:rPr>
        <w:t>е</w:t>
      </w:r>
      <w:r>
        <w:rPr>
          <w:rStyle w:val="msoins0"/>
        </w:rPr>
        <w:t> </w:t>
      </w:r>
      <w:r w:rsidRPr="008635A7">
        <w:rPr>
          <w:rStyle w:val="msoins0"/>
          <w:lang w:val="ru-RU"/>
        </w:rPr>
        <w:t>снижения цен, которые не связаны напрямую с действиями Поставщика</w:t>
      </w:r>
      <w:r>
        <w:rPr>
          <w:rStyle w:val="msoins0"/>
          <w:lang w:val="ru-RU"/>
        </w:rPr>
        <w:t>;</w:t>
      </w:r>
    </w:p>
    <w:p w:rsidR="00000000" w:rsidRDefault="008F0830">
      <w:pPr>
        <w:pStyle w:val="NormalWeb"/>
        <w:rPr>
          <w:rStyle w:val="msoins0"/>
          <w:lang w:val="ru-RU"/>
        </w:rPr>
      </w:pPr>
      <w:proofErr w:type="spellStart"/>
      <w:r>
        <w:rPr>
          <w:rStyle w:val="msoins0"/>
          <w:i/>
          <w:iCs/>
        </w:rPr>
        <w:t>EPL</w:t>
      </w:r>
      <w:r>
        <w:rPr>
          <w:rStyle w:val="msoins0"/>
          <w:i/>
          <w:iCs/>
          <w:vertAlign w:val="subscript"/>
        </w:rPr>
        <w:t>n</w:t>
      </w:r>
      <w:proofErr w:type="spellEnd"/>
      <w:r>
        <w:rPr>
          <w:rStyle w:val="msoins0"/>
          <w:lang w:val="ru-RU"/>
        </w:rPr>
        <w:t xml:space="preserve"> – количество импортируемой электроэнергии, а также электроэнергии из </w:t>
      </w:r>
      <w:r>
        <w:rPr>
          <w:rStyle w:val="msoins0"/>
          <w:lang w:val="ru-RU"/>
        </w:rPr>
        <w:t>отечественных производителей, приобретаемой Поставщиком в году «</w:t>
      </w:r>
      <w:r>
        <w:rPr>
          <w:rStyle w:val="msoins0"/>
        </w:rPr>
        <w:t>n</w:t>
      </w:r>
      <w:r>
        <w:rPr>
          <w:rStyle w:val="msoins0"/>
          <w:lang w:val="ru-RU"/>
        </w:rPr>
        <w:t>» по свободным рыночным ценам, кВт·ч;</w:t>
      </w:r>
    </w:p>
    <w:p w:rsidR="00000000" w:rsidRDefault="008F0830">
      <w:pPr>
        <w:pStyle w:val="NormalWeb"/>
        <w:rPr>
          <w:rStyle w:val="msoins0"/>
          <w:lang w:val="ru-RU"/>
        </w:rPr>
      </w:pPr>
      <w:proofErr w:type="spellStart"/>
      <w:r>
        <w:rPr>
          <w:rStyle w:val="msoins0"/>
          <w:i/>
          <w:iCs/>
        </w:rPr>
        <w:lastRenderedPageBreak/>
        <w:t>PEB</w:t>
      </w:r>
      <w:r>
        <w:rPr>
          <w:rStyle w:val="msoins0"/>
          <w:i/>
          <w:iCs/>
          <w:vertAlign w:val="subscript"/>
        </w:rPr>
        <w:t>n</w:t>
      </w:r>
      <w:proofErr w:type="spellEnd"/>
      <w:r>
        <w:rPr>
          <w:rStyle w:val="msoins0"/>
          <w:lang w:val="ru-RU"/>
        </w:rPr>
        <w:t xml:space="preserve"> – средневзвешенная цена на электроэнергию, которую Поставщик должен заплатить в году «</w:t>
      </w:r>
      <w:r>
        <w:rPr>
          <w:rStyle w:val="msoins0"/>
        </w:rPr>
        <w:t>n</w:t>
      </w:r>
      <w:r>
        <w:rPr>
          <w:rStyle w:val="msoins0"/>
          <w:lang w:val="ru-RU"/>
        </w:rPr>
        <w:t>» за электроэнергию, поставляемую оператором передающей систе</w:t>
      </w:r>
      <w:r>
        <w:rPr>
          <w:rStyle w:val="msoins0"/>
          <w:lang w:val="ru-RU"/>
        </w:rPr>
        <w:t>мы для покрытия дисбалансов допущенных Поставщиком, лей/кВт·ч;</w:t>
      </w:r>
    </w:p>
    <w:p w:rsidR="00000000" w:rsidRDefault="008F0830">
      <w:pPr>
        <w:pStyle w:val="NormalWeb"/>
        <w:rPr>
          <w:rStyle w:val="msoins0"/>
          <w:lang w:val="ru-RU"/>
        </w:rPr>
      </w:pPr>
      <w:proofErr w:type="spellStart"/>
      <w:r>
        <w:rPr>
          <w:rStyle w:val="msoins0"/>
          <w:i/>
          <w:iCs/>
        </w:rPr>
        <w:t>EPB</w:t>
      </w:r>
      <w:r>
        <w:rPr>
          <w:rStyle w:val="msoins0"/>
          <w:i/>
          <w:iCs/>
          <w:vertAlign w:val="subscript"/>
        </w:rPr>
        <w:t>n</w:t>
      </w:r>
      <w:proofErr w:type="spellEnd"/>
      <w:r>
        <w:rPr>
          <w:rStyle w:val="msoins0"/>
          <w:lang w:val="ru-RU"/>
        </w:rPr>
        <w:t xml:space="preserve"> – количество электроэнергии, поставляемой в году «</w:t>
      </w:r>
      <w:r>
        <w:rPr>
          <w:rStyle w:val="msoins0"/>
        </w:rPr>
        <w:t>n</w:t>
      </w:r>
      <w:r>
        <w:rPr>
          <w:rStyle w:val="msoins0"/>
          <w:lang w:val="ru-RU"/>
        </w:rPr>
        <w:t>» оператором передающей системы для покрытия дисбалансов допущенных Поставщиком, кВт·ч;</w:t>
      </w:r>
    </w:p>
    <w:p w:rsidR="00000000" w:rsidRDefault="008F0830">
      <w:pPr>
        <w:pStyle w:val="NormalWeb"/>
        <w:rPr>
          <w:rStyle w:val="msoins0"/>
          <w:lang w:val="ru-RU"/>
        </w:rPr>
      </w:pPr>
      <w:proofErr w:type="spellStart"/>
      <w:r>
        <w:rPr>
          <w:rStyle w:val="msoins0"/>
          <w:i/>
          <w:iCs/>
        </w:rPr>
        <w:t>EPT</w:t>
      </w:r>
      <w:r>
        <w:rPr>
          <w:rStyle w:val="msoins0"/>
          <w:i/>
          <w:iCs/>
          <w:vertAlign w:val="subscript"/>
        </w:rPr>
        <w:t>n</w:t>
      </w:r>
      <w:proofErr w:type="spellEnd"/>
      <w:r w:rsidRPr="008635A7">
        <w:rPr>
          <w:rStyle w:val="msoins0"/>
          <w:i/>
          <w:iCs/>
          <w:lang w:val="ru-RU"/>
        </w:rPr>
        <w:t xml:space="preserve"> </w:t>
      </w:r>
      <w:r>
        <w:rPr>
          <w:rStyle w:val="msoins0"/>
          <w:lang w:val="ru-RU"/>
        </w:rPr>
        <w:t>– общее количество приобретаемой Поставщиком</w:t>
      </w:r>
      <w:r>
        <w:rPr>
          <w:rStyle w:val="msoins0"/>
          <w:lang w:val="ru-RU"/>
        </w:rPr>
        <w:t xml:space="preserve"> электроэнергии в году «</w:t>
      </w:r>
      <w:r>
        <w:rPr>
          <w:rStyle w:val="msoins0"/>
        </w:rPr>
        <w:t>n</w:t>
      </w:r>
      <w:r>
        <w:rPr>
          <w:rStyle w:val="msoins0"/>
          <w:lang w:val="ru-RU"/>
        </w:rPr>
        <w:t>», кВт·ч. Количество приобретаемой электроэнергии должно быть равным количеству электроэнергии, поставляемой Поставщиком всем потребителям. То есть: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</w:rPr>
        <w:t> </w:t>
      </w:r>
    </w:p>
    <w:p w:rsidR="00000000" w:rsidRDefault="008F0830">
      <w:pPr>
        <w:pStyle w:val="cn"/>
        <w:rPr>
          <w:rStyle w:val="msoins0"/>
          <w:lang w:val="ru-RU"/>
        </w:rPr>
      </w:pPr>
      <w:proofErr w:type="spellStart"/>
      <w:r>
        <w:rPr>
          <w:rStyle w:val="msoins0"/>
          <w:i/>
          <w:iCs/>
        </w:rPr>
        <w:t>EPT</w:t>
      </w:r>
      <w:r>
        <w:rPr>
          <w:rStyle w:val="msoins0"/>
          <w:i/>
          <w:iCs/>
          <w:vertAlign w:val="subscript"/>
        </w:rPr>
        <w:t>n</w:t>
      </w:r>
      <w:proofErr w:type="spellEnd"/>
      <w:r>
        <w:rPr>
          <w:rStyle w:val="msoins0"/>
          <w:i/>
          <w:iCs/>
          <w:lang w:val="ru-RU"/>
        </w:rPr>
        <w:t xml:space="preserve"> = </w:t>
      </w:r>
      <w:proofErr w:type="spellStart"/>
      <w:r>
        <w:rPr>
          <w:rStyle w:val="msoins0"/>
          <w:i/>
          <w:iCs/>
        </w:rPr>
        <w:t>EFC</w:t>
      </w:r>
      <w:r>
        <w:rPr>
          <w:rStyle w:val="msoins0"/>
          <w:i/>
          <w:iCs/>
          <w:vertAlign w:val="subscript"/>
        </w:rPr>
        <w:t>n</w:t>
      </w:r>
      <w:proofErr w:type="spellEnd"/>
      <w:proofErr w:type="gramStart"/>
      <w:r>
        <w:rPr>
          <w:rStyle w:val="msoins0"/>
        </w:rPr>
        <w:t> </w:t>
      </w:r>
      <w:r>
        <w:rPr>
          <w:rStyle w:val="msoins0"/>
          <w:lang w:val="ru-RU"/>
        </w:rPr>
        <w:t xml:space="preserve"> (</w:t>
      </w:r>
      <w:proofErr w:type="gramEnd"/>
      <w:r>
        <w:rPr>
          <w:rStyle w:val="msoins0"/>
          <w:lang w:val="ru-RU"/>
        </w:rPr>
        <w:t xml:space="preserve">20) 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</w:rPr>
        <w:t> 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b/>
          <w:bCs/>
          <w:lang w:val="ru-RU"/>
        </w:rPr>
        <w:t>11.</w:t>
      </w:r>
      <w:r>
        <w:rPr>
          <w:rStyle w:val="msoins0"/>
          <w:lang w:val="ru-RU"/>
        </w:rPr>
        <w:t xml:space="preserve"> Затраты, понесенные Поставщиком за услуги по передаче э</w:t>
      </w:r>
      <w:r>
        <w:rPr>
          <w:rStyle w:val="msoins0"/>
          <w:lang w:val="ru-RU"/>
        </w:rPr>
        <w:t>лектроэнергии, предоставляемые оператором передающей системы, определяются согласно формуле: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</w:rPr>
        <w:t> </w:t>
      </w:r>
    </w:p>
    <w:p w:rsidR="00000000" w:rsidRDefault="008F0830">
      <w:pPr>
        <w:pStyle w:val="cn"/>
        <w:rPr>
          <w:rStyle w:val="msoins0"/>
          <w:lang w:val="ru-RU"/>
        </w:rPr>
      </w:pPr>
      <w:proofErr w:type="spellStart"/>
      <w:r>
        <w:rPr>
          <w:rStyle w:val="msoins0"/>
          <w:i/>
          <w:iCs/>
        </w:rPr>
        <w:t>CST</w:t>
      </w:r>
      <w:r>
        <w:rPr>
          <w:rStyle w:val="msoins0"/>
          <w:i/>
          <w:iCs/>
          <w:vertAlign w:val="subscript"/>
        </w:rPr>
        <w:t>n</w:t>
      </w:r>
      <w:proofErr w:type="spellEnd"/>
      <w:r>
        <w:rPr>
          <w:rStyle w:val="msoins0"/>
          <w:i/>
          <w:iCs/>
          <w:lang w:val="ru-RU"/>
        </w:rPr>
        <w:t xml:space="preserve"> = </w:t>
      </w:r>
      <w:proofErr w:type="spellStart"/>
      <w:r>
        <w:rPr>
          <w:rStyle w:val="msoins0"/>
          <w:i/>
          <w:iCs/>
        </w:rPr>
        <w:t>ET</w:t>
      </w:r>
      <w:r>
        <w:rPr>
          <w:rStyle w:val="msoins0"/>
          <w:i/>
          <w:iCs/>
          <w:vertAlign w:val="subscript"/>
        </w:rPr>
        <w:t>n</w:t>
      </w:r>
      <w:proofErr w:type="spellEnd"/>
      <w:r>
        <w:rPr>
          <w:rStyle w:val="msoins0"/>
          <w:i/>
          <w:iCs/>
          <w:lang w:val="ru-RU"/>
        </w:rPr>
        <w:t xml:space="preserve"> × </w:t>
      </w:r>
      <w:proofErr w:type="spellStart"/>
      <w:r>
        <w:rPr>
          <w:rStyle w:val="msoins0"/>
          <w:i/>
          <w:iCs/>
        </w:rPr>
        <w:t>TT</w:t>
      </w:r>
      <w:r>
        <w:rPr>
          <w:rStyle w:val="msoins0"/>
          <w:i/>
          <w:iCs/>
          <w:vertAlign w:val="subscript"/>
        </w:rPr>
        <w:t>n</w:t>
      </w:r>
      <w:proofErr w:type="spellEnd"/>
      <w:proofErr w:type="gramStart"/>
      <w:r>
        <w:rPr>
          <w:rStyle w:val="msoins0"/>
          <w:i/>
          <w:iCs/>
        </w:rPr>
        <w:t> </w:t>
      </w:r>
      <w:proofErr w:type="gramEnd"/>
      <w:r w:rsidRPr="008635A7">
        <w:rPr>
          <w:rStyle w:val="msoins0"/>
          <w:i/>
          <w:iCs/>
          <w:lang w:val="ru-RU"/>
        </w:rPr>
        <w:t xml:space="preserve"> </w:t>
      </w:r>
      <w:proofErr w:type="gramStart"/>
      <w:r>
        <w:rPr>
          <w:rStyle w:val="msoins0"/>
          <w:lang w:val="ru-RU"/>
        </w:rPr>
        <w:t>(</w:t>
      </w:r>
      <w:proofErr w:type="gramEnd"/>
      <w:r>
        <w:rPr>
          <w:rStyle w:val="msoins0"/>
          <w:lang w:val="ru-RU"/>
        </w:rPr>
        <w:t>21)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lang w:val="ru-RU"/>
        </w:rPr>
        <w:t>где:</w:t>
      </w:r>
    </w:p>
    <w:p w:rsidR="00000000" w:rsidRDefault="008F0830">
      <w:pPr>
        <w:pStyle w:val="NormalWeb"/>
        <w:rPr>
          <w:rStyle w:val="msoins0"/>
          <w:lang w:val="ru-RU"/>
        </w:rPr>
      </w:pPr>
      <w:proofErr w:type="spellStart"/>
      <w:r>
        <w:rPr>
          <w:rStyle w:val="msoins0"/>
          <w:i/>
          <w:iCs/>
        </w:rPr>
        <w:t>ET</w:t>
      </w:r>
      <w:r>
        <w:rPr>
          <w:rStyle w:val="msoins0"/>
          <w:i/>
          <w:iCs/>
          <w:vertAlign w:val="subscript"/>
        </w:rPr>
        <w:t>n</w:t>
      </w:r>
      <w:proofErr w:type="spellEnd"/>
      <w:r>
        <w:rPr>
          <w:rStyle w:val="msoins0"/>
          <w:lang w:val="ru-RU"/>
        </w:rPr>
        <w:t xml:space="preserve"> – количество электроэнергии Поставщика, транспортированной оператором передающей системы в году «</w:t>
      </w:r>
      <w:r>
        <w:rPr>
          <w:rStyle w:val="msoins0"/>
        </w:rPr>
        <w:t>n</w:t>
      </w:r>
      <w:r>
        <w:rPr>
          <w:rStyle w:val="msoins0"/>
          <w:lang w:val="ru-RU"/>
        </w:rPr>
        <w:t xml:space="preserve">» по передающим электросетям, </w:t>
      </w:r>
      <w:r>
        <w:rPr>
          <w:rStyle w:val="msoins0"/>
          <w:lang w:val="ru-RU"/>
        </w:rPr>
        <w:t xml:space="preserve">кВт·ч. 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b/>
          <w:bCs/>
          <w:lang w:val="ru-RU"/>
        </w:rPr>
        <w:t>12.</w:t>
      </w:r>
      <w:r>
        <w:rPr>
          <w:rStyle w:val="msoins0"/>
          <w:lang w:val="ru-RU"/>
        </w:rPr>
        <w:t xml:space="preserve"> Затраты, понесенные Поставщиком на услуги по распределению электроэнергии, предоставляемые операторами распределительных систем, определяются согласно формуле: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</w:rPr>
        <w:t> </w:t>
      </w:r>
    </w:p>
    <w:p w:rsidR="00000000" w:rsidRDefault="008F0830">
      <w:pPr>
        <w:pStyle w:val="cn"/>
        <w:rPr>
          <w:rStyle w:val="msoins0"/>
        </w:rPr>
      </w:pPr>
      <w:r>
        <w:rPr>
          <w:rStyle w:val="msoins0"/>
        </w:rPr>
        <w:t> </w:t>
      </w:r>
      <w:proofErr w:type="spellStart"/>
      <w:r>
        <w:rPr>
          <w:rStyle w:val="msoins0"/>
          <w:i/>
          <w:iCs/>
        </w:rPr>
        <w:t>CSD</w:t>
      </w:r>
      <w:r>
        <w:rPr>
          <w:rStyle w:val="msoins0"/>
          <w:i/>
          <w:iCs/>
          <w:vertAlign w:val="subscript"/>
        </w:rPr>
        <w:t>n</w:t>
      </w:r>
      <w:proofErr w:type="spellEnd"/>
      <w:r>
        <w:rPr>
          <w:rStyle w:val="msoins0"/>
          <w:i/>
          <w:iCs/>
        </w:rPr>
        <w:t xml:space="preserve"> = </w:t>
      </w:r>
      <w:proofErr w:type="spellStart"/>
      <w:r>
        <w:rPr>
          <w:rStyle w:val="msoins0"/>
          <w:i/>
          <w:iCs/>
        </w:rPr>
        <w:t>EFC</w:t>
      </w:r>
      <w:r>
        <w:rPr>
          <w:rStyle w:val="msoins0"/>
          <w:i/>
          <w:iCs/>
          <w:vertAlign w:val="subscript"/>
        </w:rPr>
        <w:t>nit</w:t>
      </w:r>
      <w:proofErr w:type="spellEnd"/>
      <w:r>
        <w:rPr>
          <w:rStyle w:val="msoins0"/>
          <w:i/>
          <w:iCs/>
        </w:rPr>
        <w:t xml:space="preserve"> × </w:t>
      </w:r>
      <w:proofErr w:type="spellStart"/>
      <w:r>
        <w:rPr>
          <w:rStyle w:val="msoins0"/>
          <w:i/>
          <w:iCs/>
        </w:rPr>
        <w:t>TD</w:t>
      </w:r>
      <w:r>
        <w:rPr>
          <w:rStyle w:val="msoins0"/>
          <w:i/>
          <w:iCs/>
          <w:vertAlign w:val="subscript"/>
        </w:rPr>
        <w:t>nit</w:t>
      </w:r>
      <w:proofErr w:type="spellEnd"/>
      <w:r>
        <w:rPr>
          <w:rStyle w:val="msoins0"/>
          <w:i/>
          <w:iCs/>
        </w:rPr>
        <w:t xml:space="preserve"> + </w:t>
      </w:r>
      <w:proofErr w:type="spellStart"/>
      <w:r>
        <w:rPr>
          <w:rStyle w:val="msoins0"/>
          <w:i/>
          <w:iCs/>
        </w:rPr>
        <w:t>EFC</w:t>
      </w:r>
      <w:r>
        <w:rPr>
          <w:rStyle w:val="msoins0"/>
          <w:i/>
          <w:iCs/>
          <w:vertAlign w:val="subscript"/>
        </w:rPr>
        <w:t>nmt</w:t>
      </w:r>
      <w:proofErr w:type="spellEnd"/>
      <w:r>
        <w:rPr>
          <w:rStyle w:val="msoins0"/>
          <w:i/>
          <w:iCs/>
        </w:rPr>
        <w:t xml:space="preserve"> × </w:t>
      </w:r>
      <w:proofErr w:type="spellStart"/>
      <w:r>
        <w:rPr>
          <w:rStyle w:val="msoins0"/>
          <w:i/>
          <w:iCs/>
        </w:rPr>
        <w:t>TD</w:t>
      </w:r>
      <w:r>
        <w:rPr>
          <w:rStyle w:val="msoins0"/>
          <w:i/>
          <w:iCs/>
          <w:vertAlign w:val="subscript"/>
        </w:rPr>
        <w:t>nmt</w:t>
      </w:r>
      <w:proofErr w:type="spellEnd"/>
      <w:r>
        <w:rPr>
          <w:rStyle w:val="msoins0"/>
          <w:i/>
          <w:iCs/>
        </w:rPr>
        <w:t xml:space="preserve"> + </w:t>
      </w:r>
      <w:proofErr w:type="spellStart"/>
      <w:r>
        <w:rPr>
          <w:rStyle w:val="msoins0"/>
          <w:i/>
          <w:iCs/>
        </w:rPr>
        <w:t>EFC</w:t>
      </w:r>
      <w:r>
        <w:rPr>
          <w:rStyle w:val="msoins0"/>
          <w:i/>
          <w:iCs/>
          <w:vertAlign w:val="subscript"/>
        </w:rPr>
        <w:t>njt</w:t>
      </w:r>
      <w:proofErr w:type="spellEnd"/>
      <w:r>
        <w:rPr>
          <w:rStyle w:val="msoins0"/>
          <w:i/>
          <w:iCs/>
        </w:rPr>
        <w:t xml:space="preserve"> × </w:t>
      </w:r>
      <w:proofErr w:type="spellStart"/>
      <w:r>
        <w:rPr>
          <w:rStyle w:val="msoins0"/>
          <w:i/>
          <w:iCs/>
        </w:rPr>
        <w:t>TD</w:t>
      </w:r>
      <w:r>
        <w:rPr>
          <w:rStyle w:val="msoins0"/>
          <w:i/>
          <w:iCs/>
          <w:vertAlign w:val="subscript"/>
        </w:rPr>
        <w:t>njt</w:t>
      </w:r>
      <w:proofErr w:type="spellEnd"/>
      <w:proofErr w:type="gramStart"/>
      <w:r>
        <w:rPr>
          <w:rStyle w:val="msoins0"/>
          <w:b/>
          <w:bCs/>
          <w:vertAlign w:val="subscript"/>
        </w:rPr>
        <w:t xml:space="preserve">  </w:t>
      </w:r>
      <w:r>
        <w:rPr>
          <w:rStyle w:val="msoins0"/>
        </w:rPr>
        <w:t>(</w:t>
      </w:r>
      <w:proofErr w:type="gramEnd"/>
      <w:r>
        <w:rPr>
          <w:rStyle w:val="msoins0"/>
        </w:rPr>
        <w:t>22)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lang w:val="ru-RU"/>
        </w:rPr>
        <w:t>где:</w:t>
      </w:r>
    </w:p>
    <w:p w:rsidR="00000000" w:rsidRDefault="008F0830">
      <w:pPr>
        <w:pStyle w:val="NormalWeb"/>
        <w:rPr>
          <w:rStyle w:val="msoins0"/>
          <w:lang w:val="ru-RU"/>
        </w:rPr>
      </w:pPr>
      <w:proofErr w:type="spellStart"/>
      <w:r>
        <w:rPr>
          <w:rStyle w:val="msoins0"/>
          <w:i/>
          <w:iCs/>
        </w:rPr>
        <w:t>TD</w:t>
      </w:r>
      <w:r>
        <w:rPr>
          <w:rStyle w:val="msoins0"/>
          <w:i/>
          <w:iCs/>
          <w:vertAlign w:val="subscript"/>
        </w:rPr>
        <w:t>nt</w:t>
      </w:r>
      <w:proofErr w:type="spellEnd"/>
      <w:r>
        <w:rPr>
          <w:rStyle w:val="msoins0"/>
          <w:i/>
          <w:iCs/>
          <w:lang w:val="ru-RU"/>
        </w:rPr>
        <w:t xml:space="preserve">; </w:t>
      </w:r>
      <w:proofErr w:type="spellStart"/>
      <w:r>
        <w:rPr>
          <w:rStyle w:val="msoins0"/>
          <w:i/>
          <w:iCs/>
        </w:rPr>
        <w:t>TD</w:t>
      </w:r>
      <w:r>
        <w:rPr>
          <w:rStyle w:val="msoins0"/>
          <w:i/>
          <w:iCs/>
          <w:vertAlign w:val="subscript"/>
        </w:rPr>
        <w:t>nmt</w:t>
      </w:r>
      <w:proofErr w:type="spellEnd"/>
      <w:r>
        <w:rPr>
          <w:rStyle w:val="msoins0"/>
          <w:i/>
          <w:iCs/>
          <w:lang w:val="ru-RU"/>
        </w:rPr>
        <w:t xml:space="preserve">; </w:t>
      </w:r>
      <w:proofErr w:type="spellStart"/>
      <w:r>
        <w:rPr>
          <w:rStyle w:val="msoins0"/>
          <w:i/>
          <w:iCs/>
        </w:rPr>
        <w:t>T</w:t>
      </w:r>
      <w:r>
        <w:rPr>
          <w:rStyle w:val="msoins0"/>
          <w:i/>
          <w:iCs/>
        </w:rPr>
        <w:t>D</w:t>
      </w:r>
      <w:r>
        <w:rPr>
          <w:rStyle w:val="msoins0"/>
          <w:i/>
          <w:iCs/>
          <w:vertAlign w:val="subscript"/>
        </w:rPr>
        <w:t>njt</w:t>
      </w:r>
      <w:proofErr w:type="spellEnd"/>
      <w:r w:rsidRPr="008635A7">
        <w:rPr>
          <w:rStyle w:val="msoins0"/>
          <w:i/>
          <w:iCs/>
          <w:lang w:val="ru-RU"/>
        </w:rPr>
        <w:t xml:space="preserve"> </w:t>
      </w:r>
      <w:r>
        <w:rPr>
          <w:rStyle w:val="msoins0"/>
          <w:lang w:val="ru-RU"/>
        </w:rPr>
        <w:t>– тариф на предоставление операторами распределительных систем услуги по распределению электроэнергии в году «</w:t>
      </w:r>
      <w:r>
        <w:rPr>
          <w:rStyle w:val="msoins0"/>
        </w:rPr>
        <w:t>n</w:t>
      </w:r>
      <w:r>
        <w:rPr>
          <w:rStyle w:val="msoins0"/>
          <w:lang w:val="ru-RU"/>
        </w:rPr>
        <w:t>» через распределительные электросети высокого, среднего н и низкого напряжения, утвержденный Агентством в установленном законом порядке.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b/>
          <w:bCs/>
          <w:lang w:val="ru-RU"/>
        </w:rPr>
        <w:t>13.</w:t>
      </w:r>
      <w:r>
        <w:rPr>
          <w:rStyle w:val="msoins0"/>
          <w:lang w:val="ru-RU"/>
        </w:rPr>
        <w:t xml:space="preserve"> Общие затраты и расходы Поставщика, необходимые для осуществления деятельности по поставке электроэнергии в регулируемом году «</w:t>
      </w:r>
      <w:r>
        <w:rPr>
          <w:rStyle w:val="msoins0"/>
        </w:rPr>
        <w:t>n</w:t>
      </w:r>
      <w:r>
        <w:rPr>
          <w:rStyle w:val="msoins0"/>
          <w:lang w:val="ru-RU"/>
        </w:rPr>
        <w:t>» (</w:t>
      </w:r>
      <w:proofErr w:type="spellStart"/>
      <w:r>
        <w:rPr>
          <w:rStyle w:val="msoins0"/>
        </w:rPr>
        <w:t>CSF</w:t>
      </w:r>
      <w:r>
        <w:rPr>
          <w:rStyle w:val="msoins0"/>
          <w:vertAlign w:val="subscript"/>
        </w:rPr>
        <w:t>n</w:t>
      </w:r>
      <w:proofErr w:type="spellEnd"/>
      <w:r>
        <w:rPr>
          <w:rStyle w:val="msoins0"/>
          <w:lang w:val="ru-RU"/>
        </w:rPr>
        <w:t>) включают: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lang w:val="ru-RU"/>
        </w:rPr>
        <w:t>1) расходы, связанные с заключением и выполнением договоров на закупку, договоров на поставку электроэнер</w:t>
      </w:r>
      <w:r>
        <w:rPr>
          <w:rStyle w:val="msoins0"/>
          <w:lang w:val="ru-RU"/>
        </w:rPr>
        <w:t>гии всем потребителям, договоров на оказание услуг по передаче и распределению электроэнергии, других договоров, связанных с деятельностью по поставке электроэнергии;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lang w:val="ru-RU"/>
        </w:rPr>
        <w:t>2) расходы и затраты, связанные с фактурированием и сбором платежей за электроэнергию, по</w:t>
      </w:r>
      <w:r>
        <w:rPr>
          <w:rStyle w:val="msoins0"/>
          <w:lang w:val="ru-RU"/>
        </w:rPr>
        <w:t>ставляемую потребителям, фактурированием и оплатой счетов за приобретаемую электроэнергию, за предоставление услуг по передаче и услуг по распределению электроэнергии;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lang w:val="ru-RU"/>
        </w:rPr>
        <w:t>3) расходы на обеспечение базы данных для управления потребителями, организацию и провед</w:t>
      </w:r>
      <w:r>
        <w:rPr>
          <w:rStyle w:val="msoins0"/>
          <w:lang w:val="ru-RU"/>
        </w:rPr>
        <w:t>ение работы с потребителями (коммерческие центры, службы информации для потребителей, операторы передающей системы, операторы распределительных систем и других уполномоченных учреждений);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lang w:val="ru-RU"/>
        </w:rPr>
        <w:t>4) амортизация основных средств и нематериальных активов, расходы на</w:t>
      </w:r>
      <w:r>
        <w:rPr>
          <w:rStyle w:val="msoins0"/>
          <w:lang w:val="ru-RU"/>
        </w:rPr>
        <w:t xml:space="preserve"> содержание и эксплуатацию основных средств и нематериальных активов, связанные с деятельностью по поставке электроэнергии;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lang w:val="ru-RU"/>
        </w:rPr>
        <w:t>5) другие расходы на реализацию, непосредственно связанные с поставкой электроэнергии;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lang w:val="ru-RU"/>
        </w:rPr>
        <w:t>6) административные расходы Поставщика, связа</w:t>
      </w:r>
      <w:r>
        <w:rPr>
          <w:rStyle w:val="msoins0"/>
          <w:lang w:val="ru-RU"/>
        </w:rPr>
        <w:t>нные с деятельностью по поставке электроэнергии.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b/>
          <w:bCs/>
          <w:lang w:val="ru-RU"/>
        </w:rPr>
        <w:t>14.</w:t>
      </w:r>
      <w:r>
        <w:rPr>
          <w:rStyle w:val="msoins0"/>
          <w:lang w:val="ru-RU"/>
        </w:rPr>
        <w:t xml:space="preserve"> Все затраты и расходы, непосредственно связанные с деятельностью по поставке, указанные в п.13 Методологии, состоят из затрат на персонал (</w:t>
      </w:r>
      <w:r>
        <w:rPr>
          <w:rStyle w:val="msoins0"/>
        </w:rPr>
        <w:t>CRF</w:t>
      </w:r>
      <w:r>
        <w:rPr>
          <w:rStyle w:val="msoins0"/>
          <w:lang w:val="ru-RU"/>
        </w:rPr>
        <w:t>), материальных затрат (</w:t>
      </w:r>
      <w:r>
        <w:rPr>
          <w:rStyle w:val="msoins0"/>
        </w:rPr>
        <w:t>CMF</w:t>
      </w:r>
      <w:r>
        <w:rPr>
          <w:rStyle w:val="msoins0"/>
          <w:lang w:val="ru-RU"/>
        </w:rPr>
        <w:t xml:space="preserve">), затрат на предоставление услуг </w:t>
      </w:r>
      <w:r>
        <w:rPr>
          <w:rStyle w:val="msoins0"/>
          <w:lang w:val="ru-RU"/>
        </w:rPr>
        <w:t>третьими лицами (</w:t>
      </w:r>
      <w:r>
        <w:rPr>
          <w:rStyle w:val="msoins0"/>
        </w:rPr>
        <w:t>CSP</w:t>
      </w:r>
      <w:r>
        <w:rPr>
          <w:rStyle w:val="msoins0"/>
          <w:lang w:val="ru-RU"/>
        </w:rPr>
        <w:t xml:space="preserve">), </w:t>
      </w:r>
      <w:r>
        <w:rPr>
          <w:rStyle w:val="msoins0"/>
          <w:lang w:val="ru-RU"/>
        </w:rPr>
        <w:lastRenderedPageBreak/>
        <w:t>амортизации основных средств и долгосрочных нематериальных активов (</w:t>
      </w:r>
      <w:r>
        <w:rPr>
          <w:rStyle w:val="msoins0"/>
        </w:rPr>
        <w:t>UA</w:t>
      </w:r>
      <w:r>
        <w:rPr>
          <w:rStyle w:val="msoins0"/>
          <w:lang w:val="ru-RU"/>
        </w:rPr>
        <w:t>), а также из других расходов на поставку электроэнергии (</w:t>
      </w:r>
      <w:r>
        <w:rPr>
          <w:rStyle w:val="msoins0"/>
        </w:rPr>
        <w:t>ACF</w:t>
      </w:r>
      <w:r>
        <w:rPr>
          <w:rStyle w:val="msoins0"/>
          <w:lang w:val="ru-RU"/>
        </w:rPr>
        <w:t>). Таким образом, общие затраты и расходы, связанные с деятельностью по поставке электроэнергии в году</w:t>
      </w:r>
      <w:r>
        <w:rPr>
          <w:rStyle w:val="msoins0"/>
          <w:lang w:val="ru-RU"/>
        </w:rPr>
        <w:t xml:space="preserve"> «</w:t>
      </w:r>
      <w:r>
        <w:rPr>
          <w:rStyle w:val="msoins0"/>
        </w:rPr>
        <w:t>n</w:t>
      </w:r>
      <w:r>
        <w:rPr>
          <w:rStyle w:val="msoins0"/>
          <w:lang w:val="ru-RU"/>
        </w:rPr>
        <w:t>», можно определить согласно формуле: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</w:rPr>
        <w:t> </w:t>
      </w:r>
    </w:p>
    <w:p w:rsidR="00000000" w:rsidRDefault="008F0830">
      <w:pPr>
        <w:pStyle w:val="cn"/>
        <w:rPr>
          <w:rStyle w:val="msoins0"/>
          <w:lang w:val="ru-RU"/>
        </w:rPr>
      </w:pPr>
      <w:proofErr w:type="spellStart"/>
      <w:r>
        <w:rPr>
          <w:rStyle w:val="msoins0"/>
          <w:i/>
          <w:iCs/>
        </w:rPr>
        <w:t>CSF</w:t>
      </w:r>
      <w:r>
        <w:rPr>
          <w:rStyle w:val="msoins0"/>
          <w:i/>
          <w:iCs/>
          <w:vertAlign w:val="subscript"/>
        </w:rPr>
        <w:t>n</w:t>
      </w:r>
      <w:proofErr w:type="spellEnd"/>
      <w:r>
        <w:rPr>
          <w:rStyle w:val="msoins0"/>
          <w:i/>
          <w:iCs/>
          <w:lang w:val="ru-RU"/>
        </w:rPr>
        <w:t xml:space="preserve"> = </w:t>
      </w:r>
      <w:proofErr w:type="spellStart"/>
      <w:r>
        <w:rPr>
          <w:rStyle w:val="msoins0"/>
          <w:i/>
          <w:iCs/>
        </w:rPr>
        <w:t>CRF</w:t>
      </w:r>
      <w:r>
        <w:rPr>
          <w:rStyle w:val="msoins0"/>
          <w:i/>
          <w:iCs/>
          <w:vertAlign w:val="subscript"/>
        </w:rPr>
        <w:t>n</w:t>
      </w:r>
      <w:proofErr w:type="spellEnd"/>
      <w:r>
        <w:rPr>
          <w:rStyle w:val="msoins0"/>
          <w:i/>
          <w:iCs/>
          <w:lang w:val="ru-RU"/>
        </w:rPr>
        <w:t xml:space="preserve"> + </w:t>
      </w:r>
      <w:proofErr w:type="spellStart"/>
      <w:r>
        <w:rPr>
          <w:rStyle w:val="msoins0"/>
          <w:i/>
          <w:iCs/>
        </w:rPr>
        <w:t>CMF</w:t>
      </w:r>
      <w:r>
        <w:rPr>
          <w:rStyle w:val="msoins0"/>
          <w:i/>
          <w:iCs/>
          <w:vertAlign w:val="subscript"/>
        </w:rPr>
        <w:t>n</w:t>
      </w:r>
      <w:proofErr w:type="spellEnd"/>
      <w:r>
        <w:rPr>
          <w:rStyle w:val="msoins0"/>
          <w:i/>
          <w:iCs/>
          <w:lang w:val="ru-RU"/>
        </w:rPr>
        <w:t xml:space="preserve"> + </w:t>
      </w:r>
      <w:proofErr w:type="spellStart"/>
      <w:r>
        <w:rPr>
          <w:rStyle w:val="msoins0"/>
          <w:i/>
          <w:iCs/>
        </w:rPr>
        <w:t>CSP</w:t>
      </w:r>
      <w:r>
        <w:rPr>
          <w:rStyle w:val="msoins0"/>
          <w:i/>
          <w:iCs/>
          <w:vertAlign w:val="subscript"/>
        </w:rPr>
        <w:t>n</w:t>
      </w:r>
      <w:proofErr w:type="spellEnd"/>
      <w:r>
        <w:rPr>
          <w:rStyle w:val="msoins0"/>
          <w:i/>
          <w:iCs/>
          <w:lang w:val="ru-RU"/>
        </w:rPr>
        <w:t xml:space="preserve"> + </w:t>
      </w:r>
      <w:proofErr w:type="spellStart"/>
      <w:r>
        <w:rPr>
          <w:rStyle w:val="msoins0"/>
          <w:i/>
          <w:iCs/>
        </w:rPr>
        <w:t>UA</w:t>
      </w:r>
      <w:r>
        <w:rPr>
          <w:rStyle w:val="msoins0"/>
          <w:i/>
          <w:iCs/>
          <w:vertAlign w:val="subscript"/>
        </w:rPr>
        <w:t>n</w:t>
      </w:r>
      <w:proofErr w:type="spellEnd"/>
      <w:r>
        <w:rPr>
          <w:rStyle w:val="msoins0"/>
          <w:i/>
          <w:iCs/>
          <w:lang w:val="ru-RU"/>
        </w:rPr>
        <w:t xml:space="preserve"> + </w:t>
      </w:r>
      <w:proofErr w:type="spellStart"/>
      <w:r>
        <w:rPr>
          <w:rStyle w:val="msoins0"/>
          <w:i/>
          <w:iCs/>
        </w:rPr>
        <w:t>ACF</w:t>
      </w:r>
      <w:r>
        <w:rPr>
          <w:rStyle w:val="msoins0"/>
          <w:i/>
          <w:iCs/>
          <w:vertAlign w:val="subscript"/>
        </w:rPr>
        <w:t>n</w:t>
      </w:r>
      <w:proofErr w:type="spellEnd"/>
      <w:proofErr w:type="gramStart"/>
      <w:r>
        <w:rPr>
          <w:rStyle w:val="msoins0"/>
        </w:rPr>
        <w:t> </w:t>
      </w:r>
      <w:r>
        <w:rPr>
          <w:rStyle w:val="msoins0"/>
          <w:lang w:val="ru-RU"/>
        </w:rPr>
        <w:t xml:space="preserve"> (</w:t>
      </w:r>
      <w:proofErr w:type="gramEnd"/>
      <w:r>
        <w:rPr>
          <w:rStyle w:val="msoins0"/>
          <w:lang w:val="ru-RU"/>
        </w:rPr>
        <w:t xml:space="preserve">23) 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</w:rPr>
        <w:t> 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b/>
          <w:bCs/>
          <w:lang w:val="ru-RU"/>
        </w:rPr>
        <w:t>15.</w:t>
      </w:r>
      <w:r>
        <w:rPr>
          <w:rStyle w:val="msoins0"/>
          <w:lang w:val="ru-RU"/>
        </w:rPr>
        <w:t xml:space="preserve"> В затраты Поставщика на персонал, включены как затраты на оплату труда, так и соответствующие налоги, предусмотренные законодательством (взносы обязательного гос</w:t>
      </w:r>
      <w:r>
        <w:rPr>
          <w:rStyle w:val="msoins0"/>
          <w:lang w:val="ru-RU"/>
        </w:rPr>
        <w:t>ударственного социального страхования и взносы обязательного медицинского страхования). Затраты на оплату труда определяются Поставщиком для первого года действия Методологии, базовый год (</w:t>
      </w:r>
      <w:proofErr w:type="spellStart"/>
      <w:r>
        <w:rPr>
          <w:rStyle w:val="msoins0"/>
        </w:rPr>
        <w:t>CRF</w:t>
      </w:r>
      <w:r>
        <w:rPr>
          <w:rStyle w:val="msoins0"/>
          <w:vertAlign w:val="subscript"/>
        </w:rPr>
        <w:t>o</w:t>
      </w:r>
      <w:proofErr w:type="spellEnd"/>
      <w:r>
        <w:rPr>
          <w:rStyle w:val="msoins0"/>
          <w:lang w:val="ru-RU"/>
        </w:rPr>
        <w:t>), исходя из: необходимого количества сотрудников для нормально</w:t>
      </w:r>
      <w:r>
        <w:rPr>
          <w:rStyle w:val="msoins0"/>
          <w:lang w:val="ru-RU"/>
        </w:rPr>
        <w:t>го осуществления деятельности по поставке электроэнергии; их квалификационной категории; гарантированного минимального размера заработной платы в реальном секторе; отраслевых коэффициентов сложности; распорядка и условий труда; тарифов на обязательные взно</w:t>
      </w:r>
      <w:r>
        <w:rPr>
          <w:rStyle w:val="msoins0"/>
          <w:lang w:val="ru-RU"/>
        </w:rPr>
        <w:t xml:space="preserve">сы государственного социального страхования и взносы обязательного медицинского страхования, других выплат и надбавок, установленных законодательством. Эти затраты определяются Поставщиком на первый год действия Методологии, рассматриваются и утверждаются </w:t>
      </w:r>
      <w:r>
        <w:rPr>
          <w:rStyle w:val="msoins0"/>
          <w:lang w:val="ru-RU"/>
        </w:rPr>
        <w:t>Агентством как базовые затраты на весь период действия Методологии. На каждый последующий год «</w:t>
      </w:r>
      <w:r>
        <w:rPr>
          <w:rStyle w:val="msoins0"/>
        </w:rPr>
        <w:t>n</w:t>
      </w:r>
      <w:r>
        <w:rPr>
          <w:rStyle w:val="msoins0"/>
          <w:lang w:val="ru-RU"/>
        </w:rPr>
        <w:t>» эти затраты пересматриваются исходя из индекса потребительских цен Республики Молдова и индекса изменения количества мест потребления конечных потребителей, о</w:t>
      </w:r>
      <w:r>
        <w:rPr>
          <w:rStyle w:val="msoins0"/>
          <w:lang w:val="ru-RU"/>
        </w:rPr>
        <w:t>бслуживаемых Поставщиком, согласно формуле: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</w:rPr>
        <w:t> </w:t>
      </w:r>
    </w:p>
    <w:p w:rsidR="00000000" w:rsidRDefault="008F0830">
      <w:pPr>
        <w:pStyle w:val="cn"/>
        <w:rPr>
          <w:rStyle w:val="msoins0"/>
          <w:lang w:val="ru-RU"/>
        </w:rPr>
      </w:pPr>
      <w:proofErr w:type="spellStart"/>
      <w:r>
        <w:rPr>
          <w:rStyle w:val="msoins0"/>
          <w:i/>
          <w:iCs/>
        </w:rPr>
        <w:t>CRF</w:t>
      </w:r>
      <w:r>
        <w:rPr>
          <w:rStyle w:val="msoins0"/>
          <w:i/>
          <w:iCs/>
          <w:vertAlign w:val="subscript"/>
        </w:rPr>
        <w:t>n</w:t>
      </w:r>
      <w:proofErr w:type="spellEnd"/>
      <w:r>
        <w:rPr>
          <w:rStyle w:val="msoins0"/>
          <w:i/>
          <w:iCs/>
          <w:lang w:val="ru-RU"/>
        </w:rPr>
        <w:t xml:space="preserve"> = </w:t>
      </w:r>
      <w:r>
        <w:rPr>
          <w:rStyle w:val="msoins0"/>
          <w:i/>
          <w:iCs/>
        </w:rPr>
        <w:t>CRF</w:t>
      </w:r>
      <w:r>
        <w:rPr>
          <w:rStyle w:val="msoins0"/>
          <w:i/>
          <w:iCs/>
          <w:vertAlign w:val="subscript"/>
          <w:lang w:val="ru-RU"/>
        </w:rPr>
        <w:t>0</w:t>
      </w:r>
      <w:r>
        <w:rPr>
          <w:rStyle w:val="msoins0"/>
          <w:i/>
          <w:iCs/>
          <w:lang w:val="ru-RU"/>
        </w:rPr>
        <w:t xml:space="preserve"> × </w:t>
      </w:r>
      <w:proofErr w:type="gramStart"/>
      <w:r>
        <w:rPr>
          <w:rStyle w:val="msoins0"/>
          <w:i/>
          <w:iCs/>
          <w:lang w:val="ru-RU"/>
        </w:rPr>
        <w:t>∏[</w:t>
      </w:r>
      <w:proofErr w:type="gramEnd"/>
      <w:r>
        <w:rPr>
          <w:rStyle w:val="msoins0"/>
          <w:i/>
          <w:iCs/>
          <w:lang w:val="ru-RU"/>
        </w:rPr>
        <w:t xml:space="preserve">(1 + </w:t>
      </w:r>
      <w:proofErr w:type="spellStart"/>
      <w:r>
        <w:rPr>
          <w:rStyle w:val="msoins0"/>
          <w:i/>
          <w:iCs/>
        </w:rPr>
        <w:t>IPCM</w:t>
      </w:r>
      <w:r>
        <w:rPr>
          <w:rStyle w:val="msoins0"/>
          <w:i/>
          <w:iCs/>
          <w:vertAlign w:val="subscript"/>
        </w:rPr>
        <w:t>n</w:t>
      </w:r>
      <w:proofErr w:type="spellEnd"/>
      <w:r>
        <w:rPr>
          <w:rStyle w:val="msoins0"/>
          <w:i/>
          <w:iCs/>
          <w:lang w:val="ru-RU"/>
        </w:rPr>
        <w:t xml:space="preserve">) × (1 + </w:t>
      </w:r>
      <w:proofErr w:type="spellStart"/>
      <w:r>
        <w:rPr>
          <w:rStyle w:val="msoins0"/>
          <w:i/>
          <w:iCs/>
        </w:rPr>
        <w:t>ΔNC</w:t>
      </w:r>
      <w:r>
        <w:rPr>
          <w:rStyle w:val="msoins0"/>
          <w:i/>
          <w:iCs/>
          <w:vertAlign w:val="subscript"/>
        </w:rPr>
        <w:t>n</w:t>
      </w:r>
      <w:proofErr w:type="spellEnd"/>
      <w:r>
        <w:rPr>
          <w:rStyle w:val="msoins0"/>
          <w:i/>
          <w:iCs/>
          <w:lang w:val="ru-RU"/>
        </w:rPr>
        <w:t>)]</w:t>
      </w:r>
      <w:r>
        <w:rPr>
          <w:rStyle w:val="msoins0"/>
          <w:i/>
          <w:iCs/>
        </w:rPr>
        <w:t> </w:t>
      </w:r>
      <w:r w:rsidRPr="008635A7">
        <w:rPr>
          <w:rStyle w:val="msoins0"/>
          <w:i/>
          <w:iCs/>
          <w:lang w:val="ru-RU"/>
        </w:rPr>
        <w:t xml:space="preserve"> </w:t>
      </w:r>
      <w:r>
        <w:rPr>
          <w:rStyle w:val="msoins0"/>
          <w:lang w:val="ru-RU"/>
        </w:rPr>
        <w:t>(24)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lang w:val="ru-RU"/>
        </w:rPr>
        <w:t>где:</w:t>
      </w:r>
    </w:p>
    <w:p w:rsidR="00000000" w:rsidRDefault="008F0830">
      <w:pPr>
        <w:pStyle w:val="NormalWeb"/>
        <w:rPr>
          <w:rStyle w:val="msoins0"/>
          <w:lang w:val="ru-RU"/>
        </w:rPr>
      </w:pPr>
      <w:proofErr w:type="spellStart"/>
      <w:r>
        <w:rPr>
          <w:rStyle w:val="msoins0"/>
          <w:i/>
          <w:iCs/>
        </w:rPr>
        <w:t>IPCM</w:t>
      </w:r>
      <w:r>
        <w:rPr>
          <w:rStyle w:val="msoins0"/>
          <w:i/>
          <w:iCs/>
          <w:vertAlign w:val="subscript"/>
        </w:rPr>
        <w:t>n</w:t>
      </w:r>
      <w:proofErr w:type="spellEnd"/>
      <w:r>
        <w:rPr>
          <w:rStyle w:val="msoins0"/>
          <w:lang w:val="ru-RU"/>
        </w:rPr>
        <w:t xml:space="preserve"> – индекс потребительских цен в РМ в году «</w:t>
      </w:r>
      <w:r>
        <w:rPr>
          <w:rStyle w:val="msoins0"/>
        </w:rPr>
        <w:t>n</w:t>
      </w:r>
      <w:r>
        <w:rPr>
          <w:rStyle w:val="msoins0"/>
          <w:lang w:val="ru-RU"/>
        </w:rPr>
        <w:t>»;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i/>
          <w:iCs/>
          <w:lang w:val="ru-RU"/>
        </w:rPr>
        <w:t>∆</w:t>
      </w:r>
      <w:proofErr w:type="spellStart"/>
      <w:r>
        <w:rPr>
          <w:rStyle w:val="msoins0"/>
          <w:i/>
          <w:iCs/>
        </w:rPr>
        <w:t>NC</w:t>
      </w:r>
      <w:r>
        <w:rPr>
          <w:rStyle w:val="msoins0"/>
          <w:i/>
          <w:iCs/>
          <w:vertAlign w:val="subscript"/>
        </w:rPr>
        <w:t>n</w:t>
      </w:r>
      <w:proofErr w:type="spellEnd"/>
      <w:r w:rsidRPr="008635A7">
        <w:rPr>
          <w:rStyle w:val="msoins0"/>
          <w:lang w:val="ru-RU"/>
        </w:rPr>
        <w:t xml:space="preserve"> </w:t>
      </w:r>
      <w:r>
        <w:rPr>
          <w:rStyle w:val="msoins0"/>
          <w:lang w:val="ru-RU"/>
        </w:rPr>
        <w:t xml:space="preserve">– индекс изменения количества мест </w:t>
      </w:r>
      <w:r>
        <w:rPr>
          <w:rStyle w:val="msoins0"/>
          <w:lang w:val="ru-RU"/>
        </w:rPr>
        <w:t>потребления конечных потребителей, обслуживаемых Поставщиком в году «</w:t>
      </w:r>
      <w:r>
        <w:rPr>
          <w:rStyle w:val="msoins0"/>
        </w:rPr>
        <w:t>n</w:t>
      </w:r>
      <w:r>
        <w:rPr>
          <w:rStyle w:val="msoins0"/>
          <w:lang w:val="ru-RU"/>
        </w:rPr>
        <w:t>», который определяется согласно формуле: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</w:rPr>
        <w:t> </w:t>
      </w:r>
    </w:p>
    <w:p w:rsidR="00000000" w:rsidRDefault="008F0830">
      <w:pPr>
        <w:pStyle w:val="cn"/>
        <w:rPr>
          <w:rStyle w:val="msoins0"/>
          <w:lang w:val="ru-RU"/>
        </w:rPr>
      </w:pPr>
      <m:oMathPara>
        <m:oMath>
          <m:r>
            <w:rPr>
              <w:rStyle w:val="msoins0"/>
              <w:rFonts w:ascii="Cambria Math" w:hAnsi="Cambria Math"/>
              <w:lang w:val="ro-MO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Style w:val="msoins0"/>
                  <w:rFonts w:ascii="Cambria Math" w:hAnsi="Cambria Math"/>
                  <w:lang w:val="ro-MO"/>
                </w:rPr>
                <m:t>NC</m:t>
              </m:r>
            </m:e>
            <m:sub>
              <m:r>
                <w:rPr>
                  <w:rStyle w:val="msoins0"/>
                  <w:rFonts w:ascii="Cambria Math" w:hAnsi="Cambria Math"/>
                  <w:lang w:val="ro-MO"/>
                </w:rPr>
                <m:t>n</m:t>
              </m:r>
            </m:sub>
          </m:sSub>
          <m:r>
            <w:rPr>
              <w:rStyle w:val="msoins0"/>
              <w:rFonts w:ascii="Cambria Math" w:hAnsi="Cambria Math"/>
              <w:lang w:val="ro-M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o-M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NC</m:t>
                  </m:r>
                </m:e>
                <m:sub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n</m:t>
                  </m:r>
                </m:sub>
              </m:sSub>
              <m:r>
                <w:rPr>
                  <w:rStyle w:val="msoins0"/>
                  <w:rFonts w:ascii="Cambria Math" w:hAnsi="Cambria Math"/>
                  <w:lang w:val="ro-MO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NC</m:t>
                  </m:r>
                </m:e>
                <m:sub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n</m:t>
                  </m:r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-</m:t>
                  </m:r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NC</m:t>
                  </m:r>
                </m:e>
                <m:sub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n</m:t>
                  </m:r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-</m:t>
                  </m:r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1</m:t>
                  </m:r>
                </m:sub>
              </m:sSub>
            </m:den>
          </m:f>
          <m:r>
            <w:rPr>
              <w:rStyle w:val="msoins0"/>
              <w:rFonts w:ascii="Cambria Math" w:hAnsi="Cambria Math"/>
              <w:lang w:val="ro-MO"/>
            </w:rPr>
            <m:t xml:space="preserve">  (25)</m:t>
          </m:r>
        </m:oMath>
      </m:oMathPara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lang w:val="ru-RU"/>
        </w:rPr>
        <w:t>где:</w:t>
      </w:r>
    </w:p>
    <w:p w:rsidR="00000000" w:rsidRDefault="008F0830">
      <w:pPr>
        <w:pStyle w:val="NormalWeb"/>
        <w:rPr>
          <w:rStyle w:val="msoins0"/>
          <w:lang w:val="ru-RU"/>
        </w:rPr>
      </w:pPr>
      <w:proofErr w:type="spellStart"/>
      <w:r>
        <w:rPr>
          <w:rStyle w:val="msoins0"/>
          <w:i/>
          <w:iCs/>
        </w:rPr>
        <w:t>NC</w:t>
      </w:r>
      <w:r>
        <w:rPr>
          <w:rStyle w:val="msoins0"/>
          <w:i/>
          <w:iCs/>
          <w:vertAlign w:val="subscript"/>
        </w:rPr>
        <w:t>n</w:t>
      </w:r>
      <w:proofErr w:type="spellEnd"/>
      <w:r w:rsidRPr="008635A7">
        <w:rPr>
          <w:rStyle w:val="msoins0"/>
          <w:i/>
          <w:iCs/>
          <w:lang w:val="ru-RU"/>
        </w:rPr>
        <w:t xml:space="preserve"> </w:t>
      </w:r>
      <w:r>
        <w:rPr>
          <w:rStyle w:val="msoins0"/>
          <w:lang w:val="ru-RU"/>
        </w:rPr>
        <w:t xml:space="preserve">– количество мест потребления конечных потребителей, </w:t>
      </w:r>
      <w:r>
        <w:rPr>
          <w:rStyle w:val="msoins0"/>
          <w:lang w:val="ru-RU"/>
        </w:rPr>
        <w:t>обслуживаемых Поставщиком в регулируемом году «</w:t>
      </w:r>
      <w:r>
        <w:rPr>
          <w:rStyle w:val="msoins0"/>
        </w:rPr>
        <w:t>n</w:t>
      </w:r>
      <w:r>
        <w:rPr>
          <w:rStyle w:val="msoins0"/>
          <w:lang w:val="ru-RU"/>
        </w:rPr>
        <w:t xml:space="preserve">»; </w:t>
      </w:r>
    </w:p>
    <w:p w:rsidR="00000000" w:rsidRDefault="008F0830">
      <w:pPr>
        <w:pStyle w:val="NormalWeb"/>
        <w:rPr>
          <w:rStyle w:val="msoins0"/>
          <w:lang w:val="ru-RU"/>
        </w:rPr>
      </w:pPr>
      <w:proofErr w:type="spellStart"/>
      <w:r>
        <w:rPr>
          <w:rStyle w:val="msoins0"/>
          <w:i/>
          <w:iCs/>
        </w:rPr>
        <w:t>NC</w:t>
      </w:r>
      <w:r>
        <w:rPr>
          <w:rStyle w:val="msoins0"/>
          <w:i/>
          <w:iCs/>
          <w:vertAlign w:val="subscript"/>
        </w:rPr>
        <w:t>n</w:t>
      </w:r>
      <w:proofErr w:type="spellEnd"/>
      <w:r>
        <w:rPr>
          <w:rStyle w:val="msoins0"/>
          <w:i/>
          <w:iCs/>
          <w:vertAlign w:val="subscript"/>
          <w:lang w:val="ru-RU"/>
        </w:rPr>
        <w:t>-1</w:t>
      </w:r>
      <w:r>
        <w:rPr>
          <w:rStyle w:val="msoins0"/>
          <w:i/>
          <w:iCs/>
          <w:lang w:val="ru-RU"/>
        </w:rPr>
        <w:t xml:space="preserve"> </w:t>
      </w:r>
      <w:r>
        <w:rPr>
          <w:rStyle w:val="msoins0"/>
          <w:lang w:val="ru-RU"/>
        </w:rPr>
        <w:t>– количество мест потребления конечных потребителей, обслуживаемых Поставщиком в году «</w:t>
      </w:r>
      <w:r>
        <w:rPr>
          <w:rStyle w:val="msoins0"/>
        </w:rPr>
        <w:t>n</w:t>
      </w:r>
      <w:r>
        <w:rPr>
          <w:rStyle w:val="msoins0"/>
          <w:lang w:val="ru-RU"/>
        </w:rPr>
        <w:t>-1».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lang w:val="ru-RU"/>
        </w:rPr>
        <w:t>В случае если на национальном уровне произойдет изменение гарантированного минимального размера заработно</w:t>
      </w:r>
      <w:r>
        <w:rPr>
          <w:rStyle w:val="msoins0"/>
          <w:lang w:val="ru-RU"/>
        </w:rPr>
        <w:t xml:space="preserve">й платы в реальном секторе, </w:t>
      </w:r>
      <w:r>
        <w:rPr>
          <w:rStyle w:val="msoins0"/>
          <w:iCs/>
          <w:lang w:val="ru-RU"/>
        </w:rPr>
        <w:t>затраты, связанные с оплатой труда,</w:t>
      </w:r>
      <w:r>
        <w:rPr>
          <w:rStyle w:val="msoins0"/>
          <w:lang w:val="ru-RU"/>
        </w:rPr>
        <w:t xml:space="preserve"> в соответствующем году корректируются с учетом пересмотренного гарантированного минимального размера.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b/>
          <w:bCs/>
          <w:lang w:val="ru-RU"/>
        </w:rPr>
        <w:t>16.</w:t>
      </w:r>
      <w:r>
        <w:rPr>
          <w:rStyle w:val="msoins0"/>
          <w:lang w:val="ru-RU"/>
        </w:rPr>
        <w:t xml:space="preserve"> Общие материальные затраты Поставщика, необходимые для осуществления деятельности по п</w:t>
      </w:r>
      <w:r>
        <w:rPr>
          <w:rStyle w:val="msoins0"/>
          <w:lang w:val="ru-RU"/>
        </w:rPr>
        <w:t>оставке электроэнергии, определяются Поставщиком на первый год действия Методологии (</w:t>
      </w:r>
      <w:proofErr w:type="spellStart"/>
      <w:r>
        <w:rPr>
          <w:rStyle w:val="msoins0"/>
        </w:rPr>
        <w:t>CMF</w:t>
      </w:r>
      <w:r>
        <w:rPr>
          <w:rStyle w:val="msoins0"/>
          <w:vertAlign w:val="subscript"/>
        </w:rPr>
        <w:t>o</w:t>
      </w:r>
      <w:proofErr w:type="spellEnd"/>
      <w:r>
        <w:rPr>
          <w:rStyle w:val="msoins0"/>
          <w:lang w:val="ru-RU"/>
        </w:rPr>
        <w:t xml:space="preserve">) исходя из количества каждого вида необходимого материала, определяемого на основании норм использования, и анализа материалов, используемых Поставщиком в предыдущий </w:t>
      </w:r>
      <w:r>
        <w:rPr>
          <w:rStyle w:val="msoins0"/>
          <w:lang w:val="ru-RU"/>
        </w:rPr>
        <w:t>регулируемый период для обслуживания потребителей, содержания и эксплуатации основных средств и нематериальных активов, а также исходя из минимальных цен на рынке в результате произведенных в соответствии с регламентом, утвержденным Агентством, закупок. Ка</w:t>
      </w:r>
      <w:r>
        <w:rPr>
          <w:rStyle w:val="msoins0"/>
          <w:lang w:val="ru-RU"/>
        </w:rPr>
        <w:t xml:space="preserve">к и в случае затрат на оплату труда, эти затраты рассматриваются и утверждаются Агентством для </w:t>
      </w:r>
      <w:r>
        <w:rPr>
          <w:rStyle w:val="msoins0"/>
          <w:lang w:val="ru-RU"/>
        </w:rPr>
        <w:lastRenderedPageBreak/>
        <w:t>первого года в качестве базовых затрат на весь срок действия Методологии. На каждый последующий год «</w:t>
      </w:r>
      <w:r>
        <w:rPr>
          <w:rStyle w:val="msoins0"/>
        </w:rPr>
        <w:t>n</w:t>
      </w:r>
      <w:r>
        <w:rPr>
          <w:rStyle w:val="msoins0"/>
          <w:lang w:val="ru-RU"/>
        </w:rPr>
        <w:t>» эти затраты пересматриваются согласно следующей формуле:</w:t>
      </w:r>
    </w:p>
    <w:p w:rsidR="00000000" w:rsidRDefault="008F0830">
      <w:pPr>
        <w:pStyle w:val="cn"/>
        <w:rPr>
          <w:rStyle w:val="msoins0"/>
          <w:lang w:val="ru-RU"/>
        </w:rPr>
      </w:pPr>
      <w:r>
        <w:rPr>
          <w:rStyle w:val="msoins0"/>
        </w:rPr>
        <w:t> </w:t>
      </w:r>
      <m:oMath>
        <m:sSub>
          <m:sSubPr>
            <m:ctrlPr>
              <w:rPr>
                <w:rFonts w:ascii="Cambria Math" w:hAnsi="Cambria Math"/>
                <w:i/>
                <w:lang w:val="ro-MO"/>
              </w:rPr>
            </m:ctrlPr>
          </m:sSubPr>
          <m:e>
            <m:r>
              <w:rPr>
                <w:rStyle w:val="msoins0"/>
                <w:rFonts w:ascii="Cambria Math" w:hAnsi="Cambria Math"/>
                <w:lang w:val="ro-MO"/>
              </w:rPr>
              <m:t>CMF</m:t>
            </m:r>
          </m:e>
          <m:sub>
            <m:r>
              <w:rPr>
                <w:rStyle w:val="msoins0"/>
                <w:rFonts w:ascii="Cambria Math" w:hAnsi="Cambria Math"/>
                <w:lang w:val="ro-MO"/>
              </w:rPr>
              <m:t>n</m:t>
            </m:r>
          </m:sub>
        </m:sSub>
        <m:r>
          <w:rPr>
            <w:rStyle w:val="msoins0"/>
            <w:rFonts w:ascii="Cambria Math" w:hAnsi="Cambria Math"/>
            <w:lang w:val="ro-MO"/>
          </w:rPr>
          <m:t>=</m:t>
        </m:r>
        <m:sSub>
          <m:sSubPr>
            <m:ctrlPr>
              <w:rPr>
                <w:rFonts w:ascii="Cambria Math" w:hAnsi="Cambria Math"/>
                <w:i/>
                <w:lang w:val="ro-MO"/>
              </w:rPr>
            </m:ctrlPr>
          </m:sSubPr>
          <m:e>
            <m:r>
              <w:rPr>
                <w:rStyle w:val="msoins0"/>
                <w:rFonts w:ascii="Cambria Math" w:hAnsi="Cambria Math"/>
                <w:lang w:val="ro-MO"/>
              </w:rPr>
              <m:t>CMF</m:t>
            </m:r>
          </m:e>
          <m:sub>
            <m:r>
              <w:rPr>
                <w:rStyle w:val="msoins0"/>
                <w:rFonts w:ascii="Cambria Math" w:hAnsi="Cambria Math"/>
                <w:lang w:val="ro-MO"/>
              </w:rPr>
              <m:t>0</m:t>
            </m:r>
          </m:sub>
        </m:sSub>
        <m:r>
          <w:rPr>
            <w:rStyle w:val="msoins0"/>
            <w:rFonts w:ascii="Cambria Math" w:hAnsi="Cambria Math"/>
            <w:lang w:val="ro-MO"/>
          </w:rPr>
          <m:t>×</m:t>
        </m:r>
        <m:nary>
          <m:naryPr>
            <m:chr m:val="∏"/>
            <m:limLoc m:val="undOvr"/>
            <m:subHide m:val="on"/>
            <m:supHide m:val="on"/>
            <m:ctrlPr>
              <w:rPr>
                <w:rFonts w:ascii="Cambria Math" w:hAnsi="Cambria Math"/>
                <w:i/>
                <w:lang w:val="ro-MO"/>
              </w:rPr>
            </m:ctrlPr>
          </m:naryPr>
          <m:sub/>
          <m:sup/>
          <m:e>
            <m:r>
              <w:rPr>
                <w:rStyle w:val="msoins0"/>
                <w:rFonts w:ascii="Cambria Math" w:hAnsi="Cambria Math"/>
              </w:rPr>
              <m:t>[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Style w:val="msoins0"/>
                    <w:rFonts w:ascii="Cambria Math" w:hAnsi="Cambria Math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msoins0"/>
                        <w:rFonts w:ascii="Cambria Math" w:hAnsi="Cambria Math"/>
                      </w:rPr>
                      <m:t>HICP</m:t>
                    </m:r>
                  </m:e>
                  <m:sub>
                    <m:r>
                      <w:rPr>
                        <w:rStyle w:val="msoins0"/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  <m:r>
              <w:rPr>
                <w:rStyle w:val="msoins0"/>
                <w:rFonts w:ascii="Cambria Math" w:hAnsi="Cambria Math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Style w:val="msoins0"/>
                    <w:rFonts w:ascii="Cambria Math" w:hAnsi="Cambria Math"/>
                  </w:rPr>
                  <m:t>1+∆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msoins0"/>
                        <w:rFonts w:ascii="Cambria Math" w:hAnsi="Cambria Math"/>
                      </w:rPr>
                      <m:t>NC</m:t>
                    </m:r>
                  </m:e>
                  <m:sub>
                    <m:r>
                      <w:rPr>
                        <w:rStyle w:val="msoins0"/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  <m:r>
              <w:rPr>
                <w:rStyle w:val="msoins0"/>
                <w:rFonts w:ascii="Cambria Math" w:hAnsi="Cambria Math"/>
              </w:rPr>
              <m:t>]×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msoins0"/>
                        <w:rFonts w:ascii="Cambria Math" w:hAnsi="Cambria Math"/>
                      </w:rPr>
                      <m:t>LeiD</m:t>
                    </m:r>
                  </m:e>
                  <m:sub>
                    <m:r>
                      <w:rPr>
                        <w:rStyle w:val="msoins0"/>
                        <w:rFonts w:ascii="Cambria Math" w:hAnsi="Cambria Math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msoins0"/>
                        <w:rFonts w:ascii="Cambria Math" w:hAnsi="Cambria Math"/>
                      </w:rPr>
                      <m:t>LeiD</m:t>
                    </m:r>
                  </m:e>
                  <m:sub>
                    <m:r>
                      <w:rPr>
                        <w:rStyle w:val="msoins0"/>
                        <w:rFonts w:ascii="Cambria Math" w:hAnsi="Cambria Math"/>
                      </w:rPr>
                      <m:t>n</m:t>
                    </m:r>
                    <m:r>
                      <w:rPr>
                        <w:rStyle w:val="msoins0"/>
                        <w:rFonts w:ascii="Cambria Math" w:hAnsi="Cambria Math"/>
                      </w:rPr>
                      <m:t>-</m:t>
                    </m:r>
                    <m:r>
                      <w:rPr>
                        <w:rStyle w:val="msoins0"/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e>
        </m:nary>
        <m:r>
          <w:rPr>
            <w:rStyle w:val="msoins0"/>
            <w:rFonts w:ascii="Cambria Math" w:hAnsi="Cambria Math"/>
            <w:lang w:val="ro-MO"/>
          </w:rPr>
          <m:t xml:space="preserve">    (26)</m:t>
        </m:r>
      </m:oMath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lang w:val="ru-RU"/>
        </w:rPr>
        <w:t xml:space="preserve">где: </w:t>
      </w:r>
    </w:p>
    <w:p w:rsidR="00000000" w:rsidRDefault="008F0830">
      <w:pPr>
        <w:pStyle w:val="NormalWeb"/>
        <w:rPr>
          <w:rStyle w:val="msoins0"/>
          <w:lang w:val="ru-RU"/>
        </w:rPr>
      </w:pPr>
      <w:proofErr w:type="spellStart"/>
      <w:r>
        <w:rPr>
          <w:rStyle w:val="msoins0"/>
          <w:i/>
          <w:iCs/>
        </w:rPr>
        <w:t>HICP</w:t>
      </w:r>
      <w:r>
        <w:rPr>
          <w:rStyle w:val="msoins0"/>
          <w:i/>
          <w:iCs/>
          <w:vertAlign w:val="subscript"/>
        </w:rPr>
        <w:t>n</w:t>
      </w:r>
      <w:proofErr w:type="spellEnd"/>
      <w:r w:rsidRPr="008635A7">
        <w:rPr>
          <w:rStyle w:val="msoins0"/>
          <w:i/>
          <w:iCs/>
          <w:lang w:val="ru-RU"/>
        </w:rPr>
        <w:t xml:space="preserve"> </w:t>
      </w:r>
      <w:r>
        <w:rPr>
          <w:rStyle w:val="msoins0"/>
          <w:lang w:val="ru-RU"/>
        </w:rPr>
        <w:t>– индекс розничных цен США в году «</w:t>
      </w:r>
      <w:r>
        <w:rPr>
          <w:rStyle w:val="msoins0"/>
        </w:rPr>
        <w:t>n</w:t>
      </w:r>
      <w:r>
        <w:rPr>
          <w:rStyle w:val="msoins0"/>
          <w:lang w:val="ru-RU"/>
        </w:rPr>
        <w:t>», опубликованный Министерством труда США;</w:t>
      </w:r>
    </w:p>
    <w:p w:rsidR="00000000" w:rsidRDefault="008F0830">
      <w:pPr>
        <w:pStyle w:val="NormalWeb"/>
        <w:rPr>
          <w:rStyle w:val="msoins0"/>
          <w:lang w:val="ru-RU"/>
        </w:rPr>
      </w:pPr>
      <w:proofErr w:type="spellStart"/>
      <w:r>
        <w:rPr>
          <w:rStyle w:val="msoins0"/>
          <w:i/>
          <w:iCs/>
        </w:rPr>
        <w:t>LeiD</w:t>
      </w:r>
      <w:r>
        <w:rPr>
          <w:rStyle w:val="msoins0"/>
          <w:i/>
          <w:iCs/>
          <w:vertAlign w:val="subscript"/>
        </w:rPr>
        <w:t>n</w:t>
      </w:r>
      <w:proofErr w:type="spellEnd"/>
      <w:r>
        <w:rPr>
          <w:rStyle w:val="msoins0"/>
          <w:lang w:val="ru-RU"/>
        </w:rPr>
        <w:t xml:space="preserve"> – официальный средний обменный курс молдавского лея по отношению к доллару США в году</w:t>
      </w:r>
      <w:r>
        <w:rPr>
          <w:rStyle w:val="msoins0"/>
          <w:lang w:val="ru-RU"/>
        </w:rPr>
        <w:t xml:space="preserve"> «</w:t>
      </w:r>
      <w:r>
        <w:rPr>
          <w:rStyle w:val="msoins0"/>
        </w:rPr>
        <w:t>n</w:t>
      </w:r>
      <w:r>
        <w:rPr>
          <w:rStyle w:val="msoins0"/>
          <w:lang w:val="ru-RU"/>
        </w:rPr>
        <w:t>», год, на который корректируются затраты;</w:t>
      </w:r>
    </w:p>
    <w:p w:rsidR="00000000" w:rsidRDefault="008F0830">
      <w:pPr>
        <w:pStyle w:val="NormalWeb"/>
        <w:rPr>
          <w:rStyle w:val="msoins0"/>
          <w:lang w:val="ru-RU"/>
        </w:rPr>
      </w:pPr>
      <w:proofErr w:type="spellStart"/>
      <w:r>
        <w:rPr>
          <w:rStyle w:val="msoins0"/>
          <w:i/>
          <w:iCs/>
        </w:rPr>
        <w:t>LeiD</w:t>
      </w:r>
      <w:r>
        <w:rPr>
          <w:rStyle w:val="msoins0"/>
          <w:i/>
          <w:iCs/>
          <w:vertAlign w:val="subscript"/>
        </w:rPr>
        <w:t>n</w:t>
      </w:r>
      <w:proofErr w:type="spellEnd"/>
      <w:r>
        <w:rPr>
          <w:rStyle w:val="msoins0"/>
          <w:i/>
          <w:iCs/>
          <w:vertAlign w:val="subscript"/>
          <w:lang w:val="ru-RU"/>
        </w:rPr>
        <w:t>-1</w:t>
      </w:r>
      <w:r>
        <w:rPr>
          <w:rStyle w:val="msoins0"/>
          <w:lang w:val="ru-RU"/>
        </w:rPr>
        <w:t xml:space="preserve"> – официальный средний обменный курс молдавского лея по отношению к доллару США в году «</w:t>
      </w:r>
      <w:r>
        <w:rPr>
          <w:rStyle w:val="msoins0"/>
        </w:rPr>
        <w:t>n</w:t>
      </w:r>
      <w:r>
        <w:rPr>
          <w:rStyle w:val="msoins0"/>
          <w:lang w:val="ru-RU"/>
        </w:rPr>
        <w:t>-1».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b/>
          <w:bCs/>
          <w:lang w:val="ru-RU"/>
        </w:rPr>
        <w:t>17.</w:t>
      </w:r>
      <w:r>
        <w:rPr>
          <w:rStyle w:val="msoins0"/>
          <w:lang w:val="ru-RU"/>
        </w:rPr>
        <w:t xml:space="preserve"> Общие затраты на услуги, предоставляемые третьими лицами, включают услуги, предоставляемые в связи с отпр</w:t>
      </w:r>
      <w:r>
        <w:rPr>
          <w:rStyle w:val="msoins0"/>
          <w:lang w:val="ru-RU"/>
        </w:rPr>
        <w:t>авкой счетов-фактур, приемом платежей от потребителей за электроэнергию, услугами телефонной связи, информационными и другими услугами, которые связаны с деятельностью по поставке электроэнергии, предоставляемыми Поставщику согласно заключенным договорам с</w:t>
      </w:r>
      <w:r>
        <w:rPr>
          <w:rStyle w:val="msoins0"/>
          <w:lang w:val="ru-RU"/>
        </w:rPr>
        <w:t xml:space="preserve"> третьими лицами. Данные затраты определяются для первого года действия настоящей Методологии (</w:t>
      </w:r>
      <w:proofErr w:type="spellStart"/>
      <w:r>
        <w:rPr>
          <w:rStyle w:val="msoins0"/>
        </w:rPr>
        <w:t>CSP</w:t>
      </w:r>
      <w:r>
        <w:rPr>
          <w:rStyle w:val="msoins0"/>
          <w:vertAlign w:val="subscript"/>
        </w:rPr>
        <w:t>o</w:t>
      </w:r>
      <w:proofErr w:type="spellEnd"/>
      <w:r>
        <w:rPr>
          <w:rStyle w:val="msoins0"/>
          <w:lang w:val="ru-RU"/>
        </w:rPr>
        <w:t>) исходя из договоров подряда, заключенных с третьими лицами в результате приобретения работ и услуг, осуществленных в соответствии с законодательством. Данн</w:t>
      </w:r>
      <w:r>
        <w:rPr>
          <w:rStyle w:val="msoins0"/>
          <w:lang w:val="ru-RU"/>
        </w:rPr>
        <w:t>ые расходы рассматриваются и утверждаются Агентством в качестве базовых расходов на весь срок действия Методологии. Для каждого последующего года «</w:t>
      </w:r>
      <w:r>
        <w:rPr>
          <w:rStyle w:val="msoins0"/>
        </w:rPr>
        <w:t>n</w:t>
      </w:r>
      <w:r>
        <w:rPr>
          <w:rStyle w:val="msoins0"/>
          <w:lang w:val="ru-RU"/>
        </w:rPr>
        <w:t>» данные расходы пересматриваются согласно следующей формуле: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</w:rPr>
        <w:t> </w:t>
      </w:r>
    </w:p>
    <w:p w:rsidR="00000000" w:rsidRDefault="008F0830">
      <w:pPr>
        <w:pStyle w:val="cn"/>
        <w:rPr>
          <w:rStyle w:val="msoins0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Style w:val="msoins0"/>
                  <w:rFonts w:ascii="Cambria Math" w:hAnsi="Cambria Math"/>
                  <w:lang w:val="ro-MO"/>
                </w:rPr>
                <m:t>CSP</m:t>
              </m:r>
            </m:e>
            <m:sub>
              <m:r>
                <w:rPr>
                  <w:rStyle w:val="msoins0"/>
                  <w:rFonts w:ascii="Cambria Math" w:hAnsi="Cambria Math"/>
                  <w:lang w:val="ro-MO"/>
                </w:rPr>
                <m:t>n</m:t>
              </m:r>
            </m:sub>
          </m:sSub>
          <m:r>
            <w:rPr>
              <w:rStyle w:val="msoins0"/>
              <w:rFonts w:ascii="Cambria Math" w:hAnsi="Cambria Math"/>
              <w:lang w:val="ro-MO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Style w:val="msoins0"/>
                  <w:rFonts w:ascii="Cambria Math" w:hAnsi="Cambria Math"/>
                  <w:lang w:val="ro-MO"/>
                </w:rPr>
                <m:t>CSP</m:t>
              </m:r>
            </m:e>
            <m:sub>
              <m:r>
                <w:rPr>
                  <w:rStyle w:val="msoins0"/>
                  <w:rFonts w:ascii="Cambria Math" w:hAnsi="Cambria Math"/>
                  <w:lang w:val="ro-MO"/>
                </w:rPr>
                <m:t>0</m:t>
              </m:r>
            </m:sub>
          </m:sSub>
          <m:r>
            <w:rPr>
              <w:rStyle w:val="msoins0"/>
              <w:rFonts w:ascii="Cambria Math" w:hAnsi="Cambria Math"/>
              <w:lang w:val="ro-MO"/>
            </w:rPr>
            <m:t>×</m:t>
          </m:r>
          <m:nary>
            <m:naryPr>
              <m:chr m:val="∏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lang w:val="ro-MO"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ro-MO"/>
                        </w:rPr>
                      </m:ctrlPr>
                    </m:dPr>
                    <m:e>
                      <m:r>
                        <w:rPr>
                          <w:rStyle w:val="msoins0"/>
                          <w:rFonts w:ascii="Cambria Math" w:hAnsi="Cambria Math"/>
                          <w:lang w:val="ro-MO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o-MO"/>
                            </w:rPr>
                          </m:ctrlPr>
                        </m:sSubPr>
                        <m:e>
                          <m:r>
                            <w:rPr>
                              <w:rStyle w:val="msoins0"/>
                              <w:rFonts w:ascii="Cambria Math" w:hAnsi="Cambria Math"/>
                              <w:lang w:val="ro-MO"/>
                            </w:rPr>
                            <m:t>IPCM</m:t>
                          </m:r>
                        </m:e>
                        <m:sub>
                          <m:r>
                            <w:rPr>
                              <w:rStyle w:val="msoins0"/>
                              <w:rFonts w:ascii="Cambria Math" w:hAnsi="Cambria Math"/>
                              <w:lang w:val="ro-MO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ro-MO"/>
                        </w:rPr>
                      </m:ctrlPr>
                    </m:dPr>
                    <m:e>
                      <m:r>
                        <w:rPr>
                          <w:rStyle w:val="msoins0"/>
                          <w:rFonts w:ascii="Cambria Math" w:hAnsi="Cambria Math"/>
                          <w:lang w:val="ro-MO"/>
                        </w:rPr>
                        <m:t>1+∆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o-MO"/>
                            </w:rPr>
                          </m:ctrlPr>
                        </m:sSubPr>
                        <m:e>
                          <m:r>
                            <w:rPr>
                              <w:rStyle w:val="msoins0"/>
                              <w:rFonts w:ascii="Cambria Math" w:hAnsi="Cambria Math"/>
                              <w:lang w:val="ro-MO"/>
                            </w:rPr>
                            <m:t>NC</m:t>
                          </m:r>
                        </m:e>
                        <m:sub>
                          <m:r>
                            <w:rPr>
                              <w:rStyle w:val="msoins0"/>
                              <w:rFonts w:ascii="Cambria Math" w:hAnsi="Cambria Math"/>
                              <w:lang w:val="ro-MO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  <m:r>
                <w:rPr>
                  <w:rStyle w:val="msoins0"/>
                  <w:rFonts w:ascii="Cambria Math" w:hAnsi="Cambria Math"/>
                  <w:lang w:val="ro-MO"/>
                </w:rPr>
                <m:t xml:space="preserve">     </m:t>
              </m:r>
              <m:r>
                <w:rPr>
                  <w:rStyle w:val="msoins0"/>
                  <w:rFonts w:ascii="Cambria Math" w:hAnsi="Cambria Math"/>
                  <w:lang w:val="ro-MO"/>
                </w:rPr>
                <m:t xml:space="preserve">  (27)</m:t>
              </m:r>
            </m:e>
          </m:nary>
        </m:oMath>
      </m:oMathPara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</w:rPr>
        <w:t> 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b/>
          <w:bCs/>
          <w:lang w:val="ru-RU"/>
        </w:rPr>
        <w:t>18.</w:t>
      </w:r>
      <w:r>
        <w:rPr>
          <w:rStyle w:val="msoins0"/>
          <w:lang w:val="ru-RU"/>
        </w:rPr>
        <w:t xml:space="preserve"> Амортизация основных средств и нематериальных активов определяются Поставщиком ежегодно, исходя из первоначальной стоимости активов, необходимых для осуществления деятельности по поставке электроэнергии, </w:t>
      </w:r>
      <w:r>
        <w:rPr>
          <w:rStyle w:val="msoins0"/>
          <w:lang w:val="ru-RU"/>
        </w:rPr>
        <w:t>и срока использования этих активов, используя метод линейного списания, который обеспечивает равномерное начисление износа в составе затрат и расходов Поставщика в течение всего срока полезной службы основных средств и нематериальных активов согласно форму</w:t>
      </w:r>
      <w:r>
        <w:rPr>
          <w:rStyle w:val="msoins0"/>
          <w:lang w:val="ru-RU"/>
        </w:rPr>
        <w:t>ле: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</w:rPr>
        <w:t> </w:t>
      </w:r>
    </w:p>
    <w:p w:rsidR="00000000" w:rsidRDefault="008F0830">
      <w:pPr>
        <w:pStyle w:val="cn"/>
        <w:rPr>
          <w:rStyle w:val="msoins0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Style w:val="msoins0"/>
                  <w:rFonts w:ascii="Cambria Math" w:hAnsi="Cambria Math"/>
                  <w:lang w:val="ro-MO"/>
                </w:rPr>
                <m:t>UA</m:t>
              </m:r>
            </m:e>
            <m:sub>
              <m:r>
                <w:rPr>
                  <w:rStyle w:val="msoins0"/>
                  <w:rFonts w:ascii="Cambria Math" w:hAnsi="Cambria Math"/>
                  <w:lang w:val="ro-MO"/>
                </w:rPr>
                <m:t>tn</m:t>
              </m:r>
            </m:sub>
          </m:sSub>
          <m:r>
            <w:rPr>
              <w:rStyle w:val="msoins0"/>
              <w:rFonts w:ascii="Cambria Math" w:hAnsi="Cambria Math"/>
              <w:lang w:val="ro-MO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ro-MO"/>
                </w:rPr>
              </m:ctrlPr>
            </m:naryPr>
            <m:sub>
              <m:r>
                <w:rPr>
                  <w:rStyle w:val="msoins0"/>
                  <w:rFonts w:ascii="Cambria Math" w:hAnsi="Cambria Math"/>
                  <w:lang w:val="ro-MO"/>
                </w:rPr>
                <m:t>k</m:t>
              </m:r>
              <m:r>
                <w:rPr>
                  <w:rStyle w:val="msoins0"/>
                  <w:rFonts w:ascii="Cambria Math" w:hAnsi="Cambria Math"/>
                  <w:lang w:val="ro-MO"/>
                </w:rPr>
                <m:t>=1</m:t>
              </m:r>
            </m:sub>
            <m:sup>
              <m:r>
                <w:rPr>
                  <w:rStyle w:val="msoins0"/>
                  <w:rFonts w:ascii="Cambria Math" w:hAnsi="Cambria Math"/>
                  <w:lang w:val="ro-MO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o-MO"/>
                        </w:rPr>
                      </m:ctrlPr>
                    </m:sSubPr>
                    <m:e>
                      <m:r>
                        <w:rPr>
                          <w:rStyle w:val="msoins0"/>
                          <w:rFonts w:ascii="Cambria Math" w:hAnsi="Cambria Math"/>
                          <w:lang w:val="ro-MO"/>
                        </w:rPr>
                        <m:t>VIA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o-MO"/>
                            </w:rPr>
                          </m:ctrlPr>
                        </m:sSubPr>
                        <m:e>
                          <m:r>
                            <w:rPr>
                              <w:rStyle w:val="msoins0"/>
                              <w:rFonts w:ascii="Cambria Math" w:hAnsi="Cambria Math"/>
                              <w:lang w:val="ro-MO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Style w:val="msoins0"/>
                              <w:rFonts w:ascii="Cambria Math" w:hAnsi="Cambria Math"/>
                              <w:lang w:val="ro-MO"/>
                            </w:rPr>
                            <m:t>n</m:t>
                          </m:r>
                          <m:r>
                            <w:rPr>
                              <w:rStyle w:val="msoins0"/>
                              <w:rFonts w:ascii="Cambria Math" w:hAnsi="Cambria Math"/>
                              <w:lang w:val="ro-MO"/>
                            </w:rPr>
                            <m:t>-</m:t>
                          </m:r>
                          <m:r>
                            <w:rPr>
                              <w:rStyle w:val="msoins0"/>
                              <w:rFonts w:ascii="Cambria Math" w:hAnsi="Cambria Math"/>
                              <w:lang w:val="ro-MO"/>
                            </w:rPr>
                            <m:t>1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o-MO"/>
                        </w:rPr>
                      </m:ctrlPr>
                    </m:sSubPr>
                    <m:e>
                      <m:r>
                        <w:rPr>
                          <w:rStyle w:val="msoins0"/>
                          <w:rFonts w:ascii="Cambria Math" w:hAnsi="Cambria Math"/>
                          <w:lang w:val="ro-MO"/>
                        </w:rPr>
                        <m:t>DV</m:t>
                      </m:r>
                    </m:e>
                    <m:sub>
                      <m:r>
                        <w:rPr>
                          <w:rStyle w:val="msoins0"/>
                          <w:rFonts w:ascii="Cambria Math" w:hAnsi="Cambria Math"/>
                          <w:lang w:val="ro-MO"/>
                        </w:rPr>
                        <m:t>k</m:t>
                      </m:r>
                    </m:sub>
                  </m:sSub>
                </m:den>
              </m:f>
            </m:e>
          </m:nary>
          <m:r>
            <w:rPr>
              <w:rStyle w:val="msoins0"/>
              <w:rFonts w:ascii="Cambria Math" w:hAnsi="Cambria Math"/>
              <w:lang w:val="ro-MO"/>
            </w:rPr>
            <m:t xml:space="preserve">           (28)</m:t>
          </m:r>
        </m:oMath>
      </m:oMathPara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lang w:val="ru-RU"/>
        </w:rPr>
        <w:t>где:</w:t>
      </w:r>
    </w:p>
    <w:p w:rsidR="00000000" w:rsidRDefault="008F0830">
      <w:pPr>
        <w:pStyle w:val="NormalWeb"/>
        <w:rPr>
          <w:rStyle w:val="msoins0"/>
          <w:lang w:val="ru-RU"/>
        </w:rPr>
      </w:pPr>
      <w:proofErr w:type="spellStart"/>
      <w:r>
        <w:rPr>
          <w:rStyle w:val="msoins0"/>
          <w:i/>
          <w:iCs/>
        </w:rPr>
        <w:t>VIA</w:t>
      </w:r>
      <w:r>
        <w:rPr>
          <w:rStyle w:val="msoins0"/>
          <w:i/>
          <w:iCs/>
          <w:vertAlign w:val="subscript"/>
        </w:rPr>
        <w:t>kn</w:t>
      </w:r>
      <w:proofErr w:type="spellEnd"/>
      <w:r>
        <w:rPr>
          <w:rStyle w:val="msoins0"/>
          <w:i/>
          <w:iCs/>
          <w:vertAlign w:val="subscript"/>
          <w:lang w:val="ru-RU"/>
        </w:rPr>
        <w:t>-1</w:t>
      </w:r>
      <w:r>
        <w:rPr>
          <w:rStyle w:val="msoins0"/>
          <w:lang w:val="ru-RU"/>
        </w:rPr>
        <w:t xml:space="preserve"> – первоначальная стоимость основных средств и нематериальных активов, используемых в деятельности по поставке электроэнергии, введенных в эксплуатацию до года «</w:t>
      </w:r>
      <w:r>
        <w:rPr>
          <w:rStyle w:val="msoins0"/>
        </w:rPr>
        <w:t>n</w:t>
      </w:r>
      <w:r>
        <w:rPr>
          <w:rStyle w:val="msoins0"/>
          <w:lang w:val="ru-RU"/>
        </w:rPr>
        <w:t>-1», в результате осуществл</w:t>
      </w:r>
      <w:r>
        <w:rPr>
          <w:rStyle w:val="msoins0"/>
          <w:lang w:val="ru-RU"/>
        </w:rPr>
        <w:t>енных инвестиций, согласно инвестиционным планам, утвержденным Агентством;</w:t>
      </w:r>
    </w:p>
    <w:p w:rsidR="00000000" w:rsidRDefault="008F0830">
      <w:pPr>
        <w:pStyle w:val="NormalWeb"/>
        <w:rPr>
          <w:rStyle w:val="msoins0"/>
          <w:lang w:val="ru-RU"/>
        </w:rPr>
      </w:pPr>
      <w:proofErr w:type="spellStart"/>
      <w:r>
        <w:rPr>
          <w:rStyle w:val="msoins0"/>
          <w:i/>
          <w:iCs/>
        </w:rPr>
        <w:t>DV</w:t>
      </w:r>
      <w:r>
        <w:rPr>
          <w:rStyle w:val="msoins0"/>
          <w:i/>
          <w:iCs/>
          <w:vertAlign w:val="subscript"/>
        </w:rPr>
        <w:t>k</w:t>
      </w:r>
      <w:proofErr w:type="spellEnd"/>
      <w:r>
        <w:rPr>
          <w:rStyle w:val="msoins0"/>
          <w:lang w:val="ru-RU"/>
        </w:rPr>
        <w:t xml:space="preserve"> – срок использования основных средств и нематериальных активов категории «</w:t>
      </w:r>
      <w:r>
        <w:rPr>
          <w:rStyle w:val="msoins0"/>
        </w:rPr>
        <w:t>k</w:t>
      </w:r>
      <w:r>
        <w:rPr>
          <w:rStyle w:val="msoins0"/>
          <w:lang w:val="ru-RU"/>
        </w:rPr>
        <w:t>», который должен соответствовать фактическому сроку службы актива. Вместе с тем этот срок действия не</w:t>
      </w:r>
      <w:r>
        <w:rPr>
          <w:rStyle w:val="msoins0"/>
          <w:lang w:val="ru-RU"/>
        </w:rPr>
        <w:t xml:space="preserve"> может быть меньше срока, указанного в Каталоге основных средств и нематериальных активов, утвержденном Постановлением Правительства № 338 от 21.03.2003 г.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lang w:val="ru-RU"/>
        </w:rPr>
        <w:t>19. Планирование и осуществление инвестиций выполняется Поставщиком в соответствии с Положением о пл</w:t>
      </w:r>
      <w:r>
        <w:rPr>
          <w:rStyle w:val="msoins0"/>
          <w:lang w:val="ru-RU"/>
        </w:rPr>
        <w:t>анировании, утверждении и осуществлении инвестиций, утверждённым Постановлением Административного совета Агентства № 283/2016 от 15 ноября 2016 г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b/>
          <w:bCs/>
          <w:lang w:val="ru-RU"/>
        </w:rPr>
        <w:t>20.</w:t>
      </w:r>
      <w:r>
        <w:rPr>
          <w:rStyle w:val="msoins0"/>
          <w:lang w:val="ru-RU"/>
        </w:rPr>
        <w:t xml:space="preserve"> Другие расходы на поставку электроэнергии (</w:t>
      </w:r>
      <w:proofErr w:type="spellStart"/>
      <w:r>
        <w:rPr>
          <w:rStyle w:val="msoins0"/>
        </w:rPr>
        <w:t>ACF</w:t>
      </w:r>
      <w:r>
        <w:rPr>
          <w:rStyle w:val="msoins0"/>
          <w:vertAlign w:val="subscript"/>
        </w:rPr>
        <w:t>n</w:t>
      </w:r>
      <w:proofErr w:type="spellEnd"/>
      <w:r>
        <w:rPr>
          <w:rStyle w:val="msoins0"/>
          <w:lang w:val="ru-RU"/>
        </w:rPr>
        <w:t>) включают, дотацию на создание оборотного фонда, расходы н</w:t>
      </w:r>
      <w:r>
        <w:rPr>
          <w:rStyle w:val="msoins0"/>
          <w:lang w:val="ru-RU"/>
        </w:rPr>
        <w:t xml:space="preserve">а уплату налогов и пошлин, которые согласно </w:t>
      </w:r>
      <w:r>
        <w:rPr>
          <w:rStyle w:val="msoins0"/>
          <w:lang w:val="ru-RU"/>
        </w:rPr>
        <w:lastRenderedPageBreak/>
        <w:t>законодательству относятся к расходам. Данные расходы определяются отдельно для каждого года согласно формуле: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</w:rPr>
        <w:t> </w:t>
      </w:r>
    </w:p>
    <w:p w:rsidR="00000000" w:rsidRDefault="008F0830">
      <w:pPr>
        <w:pStyle w:val="cn"/>
        <w:rPr>
          <w:rStyle w:val="msoins0"/>
          <w:lang w:val="ru-RU"/>
        </w:rPr>
      </w:pPr>
      <w:proofErr w:type="spellStart"/>
      <w:r>
        <w:rPr>
          <w:rStyle w:val="msoins0"/>
          <w:i/>
          <w:iCs/>
        </w:rPr>
        <w:t>ACF</w:t>
      </w:r>
      <w:r>
        <w:rPr>
          <w:rStyle w:val="msoins0"/>
          <w:i/>
          <w:iCs/>
          <w:vertAlign w:val="subscript"/>
        </w:rPr>
        <w:t>n</w:t>
      </w:r>
      <w:proofErr w:type="spellEnd"/>
      <w:r>
        <w:rPr>
          <w:rStyle w:val="msoins0"/>
          <w:i/>
          <w:iCs/>
          <w:lang w:val="ru-RU"/>
        </w:rPr>
        <w:t xml:space="preserve"> = </w:t>
      </w:r>
      <w:proofErr w:type="spellStart"/>
      <w:r>
        <w:rPr>
          <w:rStyle w:val="msoins0"/>
          <w:i/>
          <w:iCs/>
        </w:rPr>
        <w:t>CFR</w:t>
      </w:r>
      <w:r>
        <w:rPr>
          <w:rStyle w:val="msoins0"/>
          <w:i/>
          <w:iCs/>
          <w:vertAlign w:val="subscript"/>
        </w:rPr>
        <w:t>n</w:t>
      </w:r>
      <w:proofErr w:type="spellEnd"/>
      <w:r>
        <w:rPr>
          <w:rStyle w:val="msoins0"/>
          <w:i/>
          <w:iCs/>
          <w:lang w:val="ru-RU"/>
        </w:rPr>
        <w:t xml:space="preserve"> + </w:t>
      </w:r>
      <w:proofErr w:type="spellStart"/>
      <w:r>
        <w:rPr>
          <w:rStyle w:val="msoins0"/>
          <w:i/>
          <w:iCs/>
        </w:rPr>
        <w:t>T</w:t>
      </w:r>
      <w:r>
        <w:rPr>
          <w:rStyle w:val="msoins0"/>
          <w:i/>
          <w:iCs/>
          <w:vertAlign w:val="subscript"/>
        </w:rPr>
        <w:t>n</w:t>
      </w:r>
      <w:proofErr w:type="spellEnd"/>
      <w:r>
        <w:rPr>
          <w:rStyle w:val="msoins0"/>
          <w:lang w:val="ru-RU"/>
        </w:rPr>
        <w:t xml:space="preserve"> (29) 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lang w:val="ru-RU"/>
        </w:rPr>
        <w:t>где:</w:t>
      </w:r>
    </w:p>
    <w:p w:rsidR="00000000" w:rsidRDefault="008F0830">
      <w:pPr>
        <w:pStyle w:val="NormalWeb"/>
        <w:rPr>
          <w:rStyle w:val="msoins0"/>
          <w:lang w:val="ru-RU"/>
        </w:rPr>
      </w:pPr>
      <w:proofErr w:type="spellStart"/>
      <w:r>
        <w:rPr>
          <w:rStyle w:val="msoins0"/>
          <w:i/>
          <w:iCs/>
        </w:rPr>
        <w:t>CFR</w:t>
      </w:r>
      <w:r>
        <w:rPr>
          <w:rStyle w:val="msoins0"/>
          <w:i/>
          <w:iCs/>
          <w:vertAlign w:val="subscript"/>
        </w:rPr>
        <w:t>n</w:t>
      </w:r>
      <w:proofErr w:type="spellEnd"/>
      <w:r w:rsidRPr="008635A7">
        <w:rPr>
          <w:rStyle w:val="msoins0"/>
          <w:i/>
          <w:iCs/>
          <w:lang w:val="ru-RU"/>
        </w:rPr>
        <w:t xml:space="preserve"> </w:t>
      </w:r>
      <w:r>
        <w:rPr>
          <w:rStyle w:val="msoins0"/>
          <w:lang w:val="ru-RU"/>
        </w:rPr>
        <w:t>– дотация на создание оборотного фонда в году «</w:t>
      </w:r>
      <w:r>
        <w:rPr>
          <w:rStyle w:val="msoins0"/>
        </w:rPr>
        <w:t>n</w:t>
      </w:r>
      <w:r>
        <w:rPr>
          <w:rStyle w:val="msoins0"/>
          <w:lang w:val="ru-RU"/>
        </w:rPr>
        <w:t>», которая определ</w:t>
      </w:r>
      <w:r>
        <w:rPr>
          <w:rStyle w:val="msoins0"/>
          <w:lang w:val="ru-RU"/>
        </w:rPr>
        <w:t>яются согласно формуле: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</w:rPr>
        <w:t> </w:t>
      </w:r>
    </w:p>
    <w:p w:rsidR="00000000" w:rsidRDefault="008F0830">
      <w:pPr>
        <w:pStyle w:val="cn"/>
        <w:rPr>
          <w:rStyle w:val="msoins0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lang w:val="ro-MO"/>
                </w:rPr>
              </m:ctrlPr>
            </m:sSubPr>
            <m:e>
              <m:r>
                <w:rPr>
                  <w:rStyle w:val="msoins0"/>
                  <w:rFonts w:ascii="Cambria Math" w:hAnsi="Cambria Math"/>
                  <w:lang w:val="ro-MO"/>
                </w:rPr>
                <m:t>CFR</m:t>
              </m:r>
            </m:e>
            <m:sub>
              <m:r>
                <w:rPr>
                  <w:rStyle w:val="msoins0"/>
                  <w:rFonts w:ascii="Cambria Math" w:hAnsi="Cambria Math"/>
                  <w:lang w:val="ro-MO"/>
                </w:rPr>
                <m:t>n</m:t>
              </m:r>
            </m:sub>
          </m:sSub>
          <m:r>
            <w:rPr>
              <w:rStyle w:val="msoins0"/>
              <w:rFonts w:ascii="Cambria Math" w:hAnsi="Cambria Math"/>
              <w:lang w:val="ro-M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o-MO"/>
                </w:rPr>
              </m:ctrlPr>
            </m:fPr>
            <m:num>
              <m:r>
                <w:rPr>
                  <w:rStyle w:val="msoins0"/>
                  <w:rFonts w:ascii="Cambria Math" w:hAnsi="Cambria Math"/>
                  <w:lang w:val="ro-MO"/>
                </w:rPr>
                <m:t>α</m:t>
              </m:r>
              <m:r>
                <w:rPr>
                  <w:rStyle w:val="msoins0"/>
                  <w:rFonts w:ascii="Cambria Math" w:hAnsi="Cambria Math"/>
                  <w:lang w:val="ro-MO"/>
                </w:rPr>
                <m:t>×(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CEP</m:t>
                  </m:r>
                </m:e>
                <m:sub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n</m:t>
                  </m:r>
                </m:sub>
              </m:sSub>
              <m:r>
                <w:rPr>
                  <w:rStyle w:val="msoins0"/>
                  <w:rFonts w:ascii="Cambria Math" w:hAnsi="Cambria Math"/>
                  <w:lang w:val="ro-MO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CST</m:t>
                  </m:r>
                </m:e>
                <m:sub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n</m:t>
                  </m:r>
                </m:sub>
              </m:sSub>
              <m:r>
                <w:rPr>
                  <w:rStyle w:val="msoins0"/>
                  <w:rFonts w:ascii="Cambria Math" w:hAnsi="Cambria Math"/>
                  <w:lang w:val="ro-MO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CSD</m:t>
                  </m:r>
                </m:e>
                <m:sub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n</m:t>
                  </m:r>
                </m:sub>
              </m:sSub>
              <m:r>
                <w:rPr>
                  <w:rStyle w:val="msoins0"/>
                  <w:rFonts w:ascii="Cambria Math" w:hAnsi="Cambria Math"/>
                  <w:lang w:val="ro-MO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CRF</m:t>
                  </m:r>
                </m:e>
                <m:sub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n</m:t>
                  </m:r>
                </m:sub>
              </m:sSub>
              <m:r>
                <w:rPr>
                  <w:rStyle w:val="msoins0"/>
                  <w:rFonts w:ascii="Cambria Math" w:hAnsi="Cambria Math"/>
                  <w:lang w:val="ro-MO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CMF</m:t>
                  </m:r>
                </m:e>
                <m:sub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n</m:t>
                  </m:r>
                </m:sub>
              </m:sSub>
              <m:r>
                <w:rPr>
                  <w:rStyle w:val="msoins0"/>
                  <w:rFonts w:ascii="Cambria Math" w:hAnsi="Cambria Math"/>
                  <w:lang w:val="ro-MO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CSP</m:t>
                  </m:r>
                </m:e>
                <m:sub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n</m:t>
                  </m:r>
                </m:sub>
              </m:sSub>
              <m:r>
                <w:rPr>
                  <w:rStyle w:val="msoins0"/>
                  <w:rFonts w:ascii="Cambria Math" w:hAnsi="Cambria Math"/>
                  <w:lang w:val="ro-MO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o-MO"/>
                    </w:rPr>
                  </m:ctrlPr>
                </m:sSubPr>
                <m:e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T</m:t>
                  </m:r>
                </m:e>
                <m:sub>
                  <m:r>
                    <w:rPr>
                      <w:rStyle w:val="msoins0"/>
                      <w:rFonts w:ascii="Cambria Math" w:hAnsi="Cambria Math"/>
                      <w:lang w:val="ro-MO"/>
                    </w:rPr>
                    <m:t>n</m:t>
                  </m:r>
                </m:sub>
              </m:sSub>
              <m:r>
                <w:rPr>
                  <w:rStyle w:val="msoins0"/>
                  <w:rFonts w:ascii="Cambria Math" w:hAnsi="Cambria Math"/>
                  <w:lang w:val="ro-MO"/>
                </w:rPr>
                <m:t>)</m:t>
              </m:r>
            </m:num>
            <m:den>
              <m:r>
                <w:rPr>
                  <w:rStyle w:val="msoins0"/>
                  <w:rFonts w:ascii="Cambria Math" w:hAnsi="Cambria Math"/>
                  <w:lang w:val="ro-MO"/>
                </w:rPr>
                <m:t>365</m:t>
              </m:r>
            </m:den>
          </m:f>
          <m:r>
            <w:rPr>
              <w:rStyle w:val="msoins0"/>
              <w:rFonts w:ascii="Cambria Math" w:hAnsi="Cambria Math"/>
              <w:lang w:val="ro-MO"/>
            </w:rPr>
            <m:t>×</m:t>
          </m:r>
          <m:r>
            <w:rPr>
              <w:rStyle w:val="msoins0"/>
              <w:rFonts w:ascii="Cambria Math" w:hAnsi="Cambria Math"/>
              <w:lang w:val="ro-MO"/>
            </w:rPr>
            <m:t>Rdn</m:t>
          </m:r>
          <m:r>
            <w:rPr>
              <w:rStyle w:val="msoins0"/>
              <w:rFonts w:ascii="Cambria Math" w:hAnsi="Cambria Math"/>
              <w:lang w:val="ro-MO"/>
            </w:rPr>
            <m:t xml:space="preserve">     (30)</m:t>
          </m:r>
        </m:oMath>
      </m:oMathPara>
    </w:p>
    <w:p w:rsidR="00000000" w:rsidRDefault="008F0830">
      <w:pPr>
        <w:pStyle w:val="NormalWeb"/>
        <w:spacing w:before="120"/>
        <w:rPr>
          <w:rStyle w:val="msoins0"/>
          <w:lang w:val="ru-RU"/>
        </w:rPr>
      </w:pPr>
      <w:r>
        <w:rPr>
          <w:rStyle w:val="msoins0"/>
          <w:lang w:val="ru-RU"/>
        </w:rPr>
        <w:t>где: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i/>
          <w:iCs/>
        </w:rPr>
        <w:t>α</w:t>
      </w:r>
      <w:r>
        <w:rPr>
          <w:rStyle w:val="msoins0"/>
          <w:lang w:val="ru-RU"/>
        </w:rPr>
        <w:t xml:space="preserve"> – необходимость в оборотном фонде, выраженная в днях фактурирования за электроэнергию. Устанавливается </w:t>
      </w:r>
      <w:r>
        <w:rPr>
          <w:rStyle w:val="msoins0"/>
          <w:i/>
          <w:iCs/>
        </w:rPr>
        <w:t>α</w:t>
      </w:r>
      <w:r>
        <w:rPr>
          <w:rStyle w:val="msoins0"/>
          <w:lang w:val="ru-RU"/>
        </w:rPr>
        <w:t xml:space="preserve"> </w:t>
      </w:r>
      <w:r>
        <w:rPr>
          <w:rStyle w:val="msoins0"/>
          <w:lang w:val="ru-RU"/>
        </w:rPr>
        <w:t>= 25 дней, параметр, определяемый на основании режима оплаты потребителями за потребляемую электроэнергию согласно действующим нормативным актам и режима оплаты нужд Поставщика (в связи с приобретением электроэнергии, услугами по передаче и распределению э</w:t>
      </w:r>
      <w:r>
        <w:rPr>
          <w:rStyle w:val="msoins0"/>
          <w:lang w:val="ru-RU"/>
        </w:rPr>
        <w:t>лектроэнергии, приобретением материалов и услуг);</w:t>
      </w:r>
    </w:p>
    <w:p w:rsidR="00000000" w:rsidRDefault="008F0830">
      <w:pPr>
        <w:pStyle w:val="NormalWeb"/>
        <w:spacing w:after="120"/>
        <w:ind w:firstLine="709"/>
        <w:rPr>
          <w:rStyle w:val="msoins0"/>
          <w:rFonts w:eastAsia="Times New Roman"/>
          <w:lang w:val="ru-RU"/>
        </w:rPr>
      </w:pPr>
      <w:r>
        <w:rPr>
          <w:rStyle w:val="msoins0"/>
        </w:rPr>
        <w:t> </w:t>
      </w:r>
      <w:r>
        <w:rPr>
          <w:rStyle w:val="msoins0"/>
          <w:i/>
          <w:iCs/>
          <w:lang w:val="ro-MO"/>
        </w:rPr>
        <w:t>R</w:t>
      </w:r>
      <w:r>
        <w:rPr>
          <w:rStyle w:val="msoins0"/>
          <w:i/>
          <w:iCs/>
          <w:vertAlign w:val="subscript"/>
          <w:lang w:val="ro-MO"/>
        </w:rPr>
        <w:t>dn</w:t>
      </w:r>
      <w:r>
        <w:rPr>
          <w:rStyle w:val="msoins0"/>
          <w:lang w:val="ro-MO"/>
        </w:rPr>
        <w:t> – </w:t>
      </w:r>
      <w:r>
        <w:rPr>
          <w:rStyle w:val="msoins0"/>
          <w:lang w:val="ru-RU"/>
        </w:rPr>
        <w:t>применяемая ставка для установления дотации на создание оборотного фонда, которая определяются согласно формуле:</w:t>
      </w:r>
    </w:p>
    <w:p w:rsidR="00000000" w:rsidRDefault="008F0830">
      <w:pPr>
        <w:pStyle w:val="NormalWeb"/>
        <w:spacing w:after="120"/>
        <w:ind w:firstLine="709"/>
        <w:jc w:val="center"/>
        <w:rPr>
          <w:rStyle w:val="msoins0"/>
          <w:lang w:val="ru-RU"/>
        </w:rPr>
      </w:pPr>
      <w:r>
        <w:rPr>
          <w:rStyle w:val="msoins0"/>
          <w:i/>
          <w:iCs/>
          <w:lang w:val="ro-MO"/>
        </w:rPr>
        <w:t>R</w:t>
      </w:r>
      <w:r>
        <w:rPr>
          <w:rStyle w:val="msoins0"/>
          <w:i/>
          <w:iCs/>
          <w:vertAlign w:val="subscript"/>
          <w:lang w:val="ro-MO"/>
        </w:rPr>
        <w:t>dn</w:t>
      </w:r>
      <w:r>
        <w:rPr>
          <w:rStyle w:val="msoins0"/>
          <w:i/>
          <w:iCs/>
          <w:lang w:val="ro-MO"/>
        </w:rPr>
        <w:t> =0,65 × R</w:t>
      </w:r>
      <w:r>
        <w:rPr>
          <w:rStyle w:val="msoins0"/>
          <w:i/>
          <w:iCs/>
          <w:vertAlign w:val="subscript"/>
          <w:lang w:val="ro-MO"/>
        </w:rPr>
        <w:t>USD</w:t>
      </w:r>
      <w:r>
        <w:rPr>
          <w:rStyle w:val="msoins0"/>
          <w:i/>
          <w:iCs/>
          <w:lang w:val="ro-MO"/>
        </w:rPr>
        <w:t>+0,35 × R</w:t>
      </w:r>
      <w:r>
        <w:rPr>
          <w:rStyle w:val="msoins0"/>
          <w:i/>
          <w:iCs/>
          <w:vertAlign w:val="subscript"/>
          <w:lang w:val="ro-MO"/>
        </w:rPr>
        <w:t>MDL</w:t>
      </w:r>
      <w:r>
        <w:rPr>
          <w:rStyle w:val="msoins0"/>
          <w:i/>
          <w:iCs/>
          <w:lang w:val="ro-MO"/>
        </w:rPr>
        <w:t>          </w:t>
      </w:r>
      <w:r>
        <w:rPr>
          <w:rStyle w:val="msoins0"/>
          <w:lang w:val="ro-MO"/>
        </w:rPr>
        <w:t>(31)</w:t>
      </w:r>
    </w:p>
    <w:p w:rsidR="00000000" w:rsidRDefault="008F0830">
      <w:pPr>
        <w:pStyle w:val="NormalWeb"/>
        <w:ind w:firstLine="709"/>
        <w:rPr>
          <w:rStyle w:val="msoins0"/>
          <w:lang w:val="ru-RU"/>
        </w:rPr>
      </w:pPr>
      <w:r>
        <w:rPr>
          <w:rStyle w:val="msoins0"/>
          <w:lang w:val="ru-RU"/>
        </w:rPr>
        <w:t>где:</w:t>
      </w:r>
    </w:p>
    <w:p w:rsidR="00000000" w:rsidRDefault="008F0830">
      <w:pPr>
        <w:pStyle w:val="NormalWeb"/>
        <w:ind w:firstLine="709"/>
        <w:rPr>
          <w:rStyle w:val="msoins0"/>
          <w:lang w:val="ru-RU"/>
        </w:rPr>
      </w:pPr>
      <w:r>
        <w:rPr>
          <w:rStyle w:val="msoins0"/>
          <w:i/>
          <w:iCs/>
          <w:lang w:val="ro-MO"/>
        </w:rPr>
        <w:t>R</w:t>
      </w:r>
      <w:r>
        <w:rPr>
          <w:rStyle w:val="msoins0"/>
          <w:i/>
          <w:iCs/>
          <w:vertAlign w:val="subscript"/>
          <w:lang w:val="ro-MO"/>
        </w:rPr>
        <w:t>USD</w:t>
      </w:r>
      <w:r>
        <w:rPr>
          <w:rStyle w:val="msoins0"/>
          <w:lang w:val="ro-MO"/>
        </w:rPr>
        <w:t> – </w:t>
      </w:r>
      <w:r>
        <w:rPr>
          <w:rStyle w:val="msoins0"/>
          <w:lang w:val="ru-RU"/>
        </w:rPr>
        <w:t xml:space="preserve">средняя </w:t>
      </w:r>
      <w:r>
        <w:rPr>
          <w:rStyle w:val="msoins0"/>
          <w:lang w:val="ru-RU"/>
        </w:rPr>
        <w:t>ставка по кредитам, предоставляемых юридическим лицам в году «</w:t>
      </w:r>
      <w:r>
        <w:rPr>
          <w:rStyle w:val="msoins0"/>
        </w:rPr>
        <w:t>n</w:t>
      </w:r>
      <w:r>
        <w:rPr>
          <w:rStyle w:val="msoins0"/>
          <w:lang w:val="ru-RU"/>
        </w:rPr>
        <w:t>» в иностранной валюте, опубликованная Национальным банком в разделе: С</w:t>
      </w:r>
      <w:r>
        <w:rPr>
          <w:rStyle w:val="msoins0"/>
          <w:shd w:val="clear" w:color="auto" w:fill="FCFCFC"/>
          <w:lang w:val="ru-RU"/>
        </w:rPr>
        <w:t>редневзвешенные процентные ставки по новым кредитам, </w:t>
      </w:r>
      <w:r>
        <w:rPr>
          <w:rStyle w:val="msoins0"/>
          <w:lang w:val="ru-RU"/>
        </w:rPr>
        <w:t>с</w:t>
      </w:r>
      <w:r>
        <w:rPr>
          <w:rStyle w:val="msoins0"/>
          <w:shd w:val="clear" w:color="auto" w:fill="FCFCFC"/>
          <w:lang w:val="ru-RU"/>
        </w:rPr>
        <w:t>редневзвешенная процентная ставка по кредитам </w:t>
      </w:r>
      <w:r>
        <w:rPr>
          <w:rStyle w:val="msoins0"/>
          <w:shd w:val="clear" w:color="auto" w:fill="FFFFFF"/>
          <w:lang w:val="ru-RU"/>
        </w:rPr>
        <w:t>выданным в </w:t>
      </w:r>
      <w:r>
        <w:rPr>
          <w:rStyle w:val="msoins0"/>
          <w:lang w:val="ru-RU"/>
        </w:rPr>
        <w:t>иностранной</w:t>
      </w:r>
      <w:r>
        <w:rPr>
          <w:rStyle w:val="msoins0"/>
          <w:lang w:val="ru-RU"/>
        </w:rPr>
        <w:t xml:space="preserve"> валюте /юридические лица /до 12 месяцев;</w:t>
      </w:r>
    </w:p>
    <w:p w:rsidR="00000000" w:rsidRDefault="008F0830">
      <w:pPr>
        <w:pStyle w:val="NormalWeb"/>
        <w:ind w:firstLine="709"/>
        <w:rPr>
          <w:rStyle w:val="msoins0"/>
          <w:lang w:val="ru-RU"/>
        </w:rPr>
      </w:pPr>
      <w:r>
        <w:rPr>
          <w:rStyle w:val="msoins0"/>
          <w:i/>
          <w:iCs/>
          <w:lang w:val="ro-MO"/>
        </w:rPr>
        <w:t>R</w:t>
      </w:r>
      <w:r>
        <w:rPr>
          <w:rStyle w:val="msoins0"/>
          <w:i/>
          <w:iCs/>
          <w:vertAlign w:val="subscript"/>
          <w:lang w:val="ro-MO"/>
        </w:rPr>
        <w:t>MDL</w:t>
      </w:r>
      <w:r>
        <w:rPr>
          <w:rStyle w:val="msoins0"/>
          <w:lang w:val="ro-MO"/>
        </w:rPr>
        <w:t> - </w:t>
      </w:r>
      <w:r>
        <w:rPr>
          <w:rStyle w:val="msoins0"/>
          <w:lang w:val="ru-RU"/>
        </w:rPr>
        <w:t>средняя ставка по кредитам, предоставляемых юридическим лицам в году «</w:t>
      </w:r>
      <w:r>
        <w:rPr>
          <w:rStyle w:val="msoins0"/>
        </w:rPr>
        <w:t>n</w:t>
      </w:r>
      <w:r>
        <w:rPr>
          <w:rStyle w:val="msoins0"/>
          <w:lang w:val="ru-RU"/>
        </w:rPr>
        <w:t>» в национальной валюте, опубликованная Национальным банком в разделе: Средневзвешенные процентные ставки по новым кредитам, средневзвеш</w:t>
      </w:r>
      <w:r>
        <w:rPr>
          <w:rStyle w:val="msoins0"/>
          <w:lang w:val="ru-RU"/>
        </w:rPr>
        <w:t>енная процентная ставка по кредитам выданным в национальной валюте /юридические лица /до 12 месяцев;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  <w:i/>
          <w:iCs/>
          <w:lang w:val="ru-RU"/>
        </w:rPr>
        <w:t xml:space="preserve"> </w:t>
      </w:r>
      <w:proofErr w:type="spellStart"/>
      <w:r>
        <w:rPr>
          <w:rStyle w:val="msoins0"/>
          <w:i/>
          <w:iCs/>
        </w:rPr>
        <w:t>T</w:t>
      </w:r>
      <w:r>
        <w:rPr>
          <w:rStyle w:val="msoins0"/>
          <w:i/>
          <w:iCs/>
          <w:vertAlign w:val="subscript"/>
        </w:rPr>
        <w:t>n</w:t>
      </w:r>
      <w:proofErr w:type="spellEnd"/>
      <w:r w:rsidRPr="008635A7">
        <w:rPr>
          <w:rStyle w:val="msoins0"/>
          <w:i/>
          <w:iCs/>
          <w:lang w:val="ru-RU"/>
        </w:rPr>
        <w:t xml:space="preserve"> </w:t>
      </w:r>
      <w:r>
        <w:rPr>
          <w:rStyle w:val="msoins0"/>
          <w:lang w:val="ru-RU"/>
        </w:rPr>
        <w:t>– налоги, пошлины и другие обоснованные платежи, которые должны быть оплачены предприятием в году «</w:t>
      </w:r>
      <w:r>
        <w:rPr>
          <w:rStyle w:val="msoins0"/>
        </w:rPr>
        <w:t>n</w:t>
      </w:r>
      <w:r>
        <w:rPr>
          <w:rStyle w:val="msoins0"/>
          <w:lang w:val="ru-RU"/>
        </w:rPr>
        <w:t>» и которые согласно законодательству относятся к р</w:t>
      </w:r>
      <w:r>
        <w:rPr>
          <w:rStyle w:val="msoins0"/>
          <w:lang w:val="ru-RU"/>
        </w:rPr>
        <w:t>асходам.</w:t>
      </w:r>
    </w:p>
    <w:p w:rsidR="00000000" w:rsidRDefault="008F0830">
      <w:pPr>
        <w:pStyle w:val="NormalWeb"/>
        <w:rPr>
          <w:rStyle w:val="msoins0"/>
          <w:lang w:val="ru-RU"/>
        </w:rPr>
      </w:pPr>
      <w:r>
        <w:rPr>
          <w:rStyle w:val="msoins0"/>
        </w:rPr>
        <w:t> </w:t>
      </w:r>
      <w:r>
        <w:rPr>
          <w:rStyle w:val="msoins0"/>
          <w:lang w:val="ru-RU"/>
        </w:rPr>
        <w:t>В случае, если поставщик не использует в полной мере дотацию на создание оборотного фонда для выплаты процентных ставок по краткосрочным кредитам, Агентство, при актуализации регулируемых цен на поставку электроэнергии, вправе уменьшить</w:t>
      </w:r>
      <w:r>
        <w:rPr>
          <w:rStyle w:val="msoins0"/>
        </w:rPr>
        <w:t> </w:t>
      </w:r>
      <w:r>
        <w:rPr>
          <w:rStyle w:val="msoins0"/>
          <w:lang w:val="ru-RU"/>
        </w:rPr>
        <w:t xml:space="preserve">значение </w:t>
      </w:r>
      <w:r>
        <w:rPr>
          <w:rStyle w:val="msoins0"/>
          <w:lang w:val="ru-RU"/>
        </w:rPr>
        <w:t>регулируемого дохода на величину дотации, используемую на другие цели.</w:t>
      </w:r>
    </w:p>
    <w:p w:rsidR="00000000" w:rsidRPr="008635A7" w:rsidRDefault="008F0830">
      <w:pPr>
        <w:pStyle w:val="cp"/>
        <w:rPr>
          <w:lang w:val="ru-RU"/>
        </w:rPr>
      </w:pPr>
      <w:r>
        <w:rPr>
          <w:lang w:val="ru-RU"/>
        </w:rPr>
        <w:t>Раздел 5</w:t>
      </w:r>
    </w:p>
    <w:p w:rsidR="00000000" w:rsidRDefault="008F0830">
      <w:pPr>
        <w:pStyle w:val="cp"/>
        <w:rPr>
          <w:lang w:val="ru-RU"/>
        </w:rPr>
      </w:pPr>
      <w:r>
        <w:rPr>
          <w:lang w:val="ru-RU"/>
        </w:rPr>
        <w:t>УТВЕРЖДЕНИЕ, ПЕРЕСМОТР И ПРИМЕНЕНИЕ РЕГУЛИРУЕМЫХ ЦЕН</w:t>
      </w:r>
    </w:p>
    <w:p w:rsidR="00000000" w:rsidRDefault="008F0830">
      <w:pPr>
        <w:pStyle w:val="NormalWeb"/>
        <w:rPr>
          <w:lang w:val="ru-RU"/>
        </w:rPr>
      </w:pPr>
      <w:r>
        <w:rPr>
          <w:b/>
          <w:bCs/>
          <w:lang w:val="ru-RU"/>
        </w:rPr>
        <w:t>21.</w:t>
      </w:r>
      <w:r>
        <w:rPr>
          <w:lang w:val="ru-RU"/>
        </w:rPr>
        <w:t xml:space="preserve"> Регулируемые цены на поставку электроэнергии определяются Поставщиком ежегодно и утверждаются Административным советом </w:t>
      </w:r>
      <w:r>
        <w:rPr>
          <w:lang w:val="ru-RU"/>
        </w:rPr>
        <w:t xml:space="preserve">Агентства в соответствии с сроками и условиями установленными в Положении о процедурах представления и рассмотрения заявлений обладателей лицензий относительно регулируемых цен и тарифов. 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NormalWeb"/>
        <w:rPr>
          <w:lang w:val="ru-RU"/>
        </w:rPr>
      </w:pPr>
      <w:r>
        <w:rPr>
          <w:b/>
          <w:bCs/>
          <w:lang w:val="ru-RU"/>
        </w:rPr>
        <w:t>22.</w:t>
      </w:r>
      <w:r>
        <w:rPr>
          <w:lang w:val="ru-RU"/>
        </w:rPr>
        <w:t xml:space="preserve"> Поставщик вправе обратиться в Агентство по поводу пересмотра </w:t>
      </w:r>
      <w:r>
        <w:rPr>
          <w:lang w:val="ru-RU"/>
        </w:rPr>
        <w:t xml:space="preserve">регулируемых цен в течение года в случаях наличия объективных факторов, неподконтрольных ему (изменение цен на приобретение электроэнергии, колебания обменного курса национальной валюты, принятие законодательных и нормативных </w:t>
      </w:r>
      <w:r>
        <w:rPr>
          <w:lang w:val="ru-RU"/>
        </w:rPr>
        <w:lastRenderedPageBreak/>
        <w:t>актов, приводящих к увеличению</w:t>
      </w:r>
      <w:r>
        <w:rPr>
          <w:lang w:val="ru-RU"/>
        </w:rPr>
        <w:t xml:space="preserve"> затрат на поставку и др.), которые обосновывают соответствующую корректировку и приводят к отклонению более чем на 5,0% от годовой стоимости поставки электроэнергии, установленной в регулируемых ценах. В этом случае Поставщик представляет в Агентство анал</w:t>
      </w:r>
      <w:r>
        <w:rPr>
          <w:lang w:val="ru-RU"/>
        </w:rPr>
        <w:t xml:space="preserve">из факторов влияния и отклонений между данными, которые применялись при расчете регулируемой цены и были реально зарегистрированы. </w:t>
      </w:r>
    </w:p>
    <w:p w:rsidR="00000000" w:rsidRDefault="008F0830">
      <w:pPr>
        <w:pStyle w:val="NormalWeb"/>
        <w:rPr>
          <w:b/>
          <w:lang w:val="ru-RU"/>
        </w:rPr>
      </w:pPr>
      <w:r>
        <w:rPr>
          <w:b/>
          <w:lang w:val="ru-RU"/>
        </w:rPr>
        <w:t xml:space="preserve">23. </w:t>
      </w:r>
      <w:r>
        <w:rPr>
          <w:lang w:val="ru-RU"/>
        </w:rPr>
        <w:t>В случае наличия объективных факторов, приводящих к отклонению более чем на 5% от годовой стоимости поставки, установлен</w:t>
      </w:r>
      <w:r>
        <w:rPr>
          <w:lang w:val="ru-RU"/>
        </w:rPr>
        <w:t>ной в регулируемых ценах, и которые приводят к уменьшению цен, Агентство вправе требовать у Поставщика представить расчет пересмотренной цены.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NormalWeb"/>
        <w:rPr>
          <w:lang w:val="ru-RU"/>
        </w:rPr>
      </w:pPr>
      <w:r>
        <w:rPr>
          <w:b/>
          <w:bCs/>
          <w:lang w:val="ru-RU"/>
        </w:rPr>
        <w:t>24.</w:t>
      </w:r>
      <w:r>
        <w:rPr>
          <w:lang w:val="ru-RU"/>
        </w:rPr>
        <w:t xml:space="preserve"> Тарифные отклонения, образовавшиеся в течение отчетного года «</w:t>
      </w:r>
      <w:r>
        <w:t>n</w:t>
      </w:r>
      <w:r>
        <w:rPr>
          <w:lang w:val="ru-RU"/>
        </w:rPr>
        <w:t>-1», включаются в регулируемую цену на год «</w:t>
      </w:r>
      <w:r>
        <w:t>n</w:t>
      </w:r>
      <w:r>
        <w:rPr>
          <w:lang w:val="ru-RU"/>
        </w:rPr>
        <w:t>», скорректированные исходя из среднегодового уровня процентной ставки по банковским кредитам, предоставляемым в молдавских леях, на основании значений этих отклонений, определяемых ежемесячно. В случае изменения регулируемых цен в течение отчетного года,</w:t>
      </w:r>
      <w:r>
        <w:rPr>
          <w:lang w:val="ru-RU"/>
        </w:rPr>
        <w:t xml:space="preserve"> тарифные отклонения (</w:t>
      </w:r>
      <w:r>
        <w:t>Dev</w:t>
      </w:r>
      <w:r>
        <w:rPr>
          <w:lang w:val="ru-RU"/>
        </w:rPr>
        <w:t>), образованные в предыдущем периоде отчетного года, учитываются в полной мере при расчете новых регулируемых цен. В этом случае, тарифные отклонения включаются в регулируемая цена таким образом, чтобы они были возмещены до конца г</w:t>
      </w:r>
      <w:r>
        <w:rPr>
          <w:lang w:val="ru-RU"/>
        </w:rPr>
        <w:t>ода.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NormalWeb"/>
        <w:rPr>
          <w:lang w:val="ru-RU"/>
        </w:rPr>
      </w:pPr>
      <w:r>
        <w:rPr>
          <w:b/>
          <w:bCs/>
          <w:lang w:val="ru-RU"/>
        </w:rPr>
        <w:t>25.</w:t>
      </w:r>
      <w:r>
        <w:rPr>
          <w:lang w:val="ru-RU"/>
        </w:rPr>
        <w:t xml:space="preserve"> Переменная </w:t>
      </w:r>
      <w:proofErr w:type="spellStart"/>
      <w:r>
        <w:t>Dev</w:t>
      </w:r>
      <w:r>
        <w:rPr>
          <w:vertAlign w:val="subscript"/>
        </w:rPr>
        <w:t>n</w:t>
      </w:r>
      <w:proofErr w:type="spellEnd"/>
      <w:r>
        <w:rPr>
          <w:vertAlign w:val="subscript"/>
          <w:lang w:val="ru-RU"/>
        </w:rPr>
        <w:t>-1</w:t>
      </w:r>
      <w:r>
        <w:rPr>
          <w:lang w:val="ru-RU"/>
        </w:rPr>
        <w:t xml:space="preserve"> рассчитывается в каждом отчетном году для отражения финансового влияния отклонений между прогнозируемыми значениями показателей при установлении регулируемой цены на год «</w:t>
      </w:r>
      <w:r>
        <w:t>n</w:t>
      </w:r>
      <w:r>
        <w:rPr>
          <w:lang w:val="ru-RU"/>
        </w:rPr>
        <w:t>-1» и реально зарегистрированными в этом году.</w:t>
      </w:r>
    </w:p>
    <w:p w:rsidR="00000000" w:rsidRDefault="008F0830">
      <w:pPr>
        <w:pStyle w:val="NormalWeb"/>
        <w:rPr>
          <w:lang w:val="ru-RU"/>
        </w:rPr>
      </w:pPr>
      <w:r>
        <w:t> </w:t>
      </w:r>
    </w:p>
    <w:p w:rsidR="00000000" w:rsidRDefault="008F0830">
      <w:pPr>
        <w:pStyle w:val="NormalWeb"/>
        <w:spacing w:before="120"/>
        <w:rPr>
          <w:lang w:val="ru-RU"/>
        </w:rPr>
      </w:pPr>
      <w:r>
        <w:rPr>
          <w:b/>
          <w:bCs/>
          <w:lang w:val="ru-RU"/>
        </w:rPr>
        <w:t>26.</w:t>
      </w:r>
      <w:r>
        <w:rPr>
          <w:lang w:val="ru-RU"/>
        </w:rPr>
        <w:t xml:space="preserve"> В </w:t>
      </w:r>
      <w:r>
        <w:rPr>
          <w:lang w:val="ru-RU"/>
        </w:rPr>
        <w:t xml:space="preserve">случае, если в период действия Методологии принимаются регулирующие нормативные акты, которые повлияют на уровень затрат и расходов на поставку электроэнергии, эти изменения будут приняты во внимание Агентством при ежегодном пересмотре регулируемых цен. В </w:t>
      </w:r>
      <w:r>
        <w:rPr>
          <w:lang w:val="ru-RU"/>
        </w:rPr>
        <w:t>методологию осуществляются изменения в течение периода применения по мере необходимости для обеспечения соблюдения нормативной базы Республики Молдова.</w:t>
      </w:r>
    </w:p>
    <w:p w:rsidR="00000000" w:rsidRDefault="008F0830">
      <w:pPr>
        <w:pStyle w:val="NormalWeb"/>
        <w:rPr>
          <w:lang w:val="ru-RU"/>
        </w:rPr>
      </w:pPr>
    </w:p>
    <w:p w:rsidR="008F0830" w:rsidRDefault="008F0830">
      <w:pPr>
        <w:pStyle w:val="NormalWeb"/>
        <w:rPr>
          <w:lang w:val="ru-RU"/>
        </w:rPr>
      </w:pPr>
    </w:p>
    <w:sectPr w:rsidR="008F083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compat/>
  <w:rsids>
    <w:rsidRoot w:val="008635A7"/>
    <w:rsid w:val="008635A7"/>
    <w:rsid w:val="008F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msonormal0">
    <w:name w:val="msonormal"/>
    <w:basedOn w:val="Normal"/>
    <w:uiPriority w:val="99"/>
    <w:semiHidden/>
    <w:pPr>
      <w:ind w:firstLine="567"/>
      <w:jc w:val="both"/>
    </w:pPr>
  </w:style>
  <w:style w:type="paragraph" w:customStyle="1" w:styleId="forma">
    <w:name w:val="forma"/>
    <w:basedOn w:val="Normal"/>
    <w:uiPriority w:val="99"/>
    <w:semiHidden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t">
    <w:name w:val="tt"/>
    <w:basedOn w:val="Normal"/>
    <w:uiPriority w:val="99"/>
    <w:semiHidden/>
    <w:pPr>
      <w:jc w:val="center"/>
    </w:pPr>
    <w:rPr>
      <w:b/>
      <w:bCs/>
    </w:rPr>
  </w:style>
  <w:style w:type="paragraph" w:customStyle="1" w:styleId="pb">
    <w:name w:val="pb"/>
    <w:basedOn w:val="Normal"/>
    <w:uiPriority w:val="99"/>
    <w:semiHidden/>
    <w:pPr>
      <w:jc w:val="center"/>
    </w:pPr>
    <w:rPr>
      <w:i/>
      <w:iCs/>
      <w:color w:val="663300"/>
      <w:sz w:val="20"/>
      <w:szCs w:val="20"/>
    </w:rPr>
  </w:style>
  <w:style w:type="paragraph" w:customStyle="1" w:styleId="cu">
    <w:name w:val="cu"/>
    <w:basedOn w:val="Normal"/>
    <w:uiPriority w:val="99"/>
    <w:semiHidden/>
    <w:pPr>
      <w:spacing w:before="45"/>
      <w:ind w:left="1134" w:right="567" w:hanging="567"/>
      <w:jc w:val="both"/>
    </w:pPr>
    <w:rPr>
      <w:sz w:val="20"/>
      <w:szCs w:val="20"/>
    </w:rPr>
  </w:style>
  <w:style w:type="paragraph" w:customStyle="1" w:styleId="cut">
    <w:name w:val="cut"/>
    <w:basedOn w:val="Normal"/>
    <w:uiPriority w:val="99"/>
    <w:semiHidden/>
    <w:pPr>
      <w:ind w:left="567" w:right="567" w:firstLine="567"/>
      <w:jc w:val="center"/>
    </w:pPr>
    <w:rPr>
      <w:b/>
      <w:bCs/>
      <w:sz w:val="20"/>
      <w:szCs w:val="20"/>
    </w:rPr>
  </w:style>
  <w:style w:type="paragraph" w:customStyle="1" w:styleId="cp">
    <w:name w:val="cp"/>
    <w:basedOn w:val="Normal"/>
    <w:uiPriority w:val="99"/>
    <w:semiHidden/>
    <w:pPr>
      <w:jc w:val="center"/>
    </w:pPr>
    <w:rPr>
      <w:b/>
      <w:bCs/>
    </w:rPr>
  </w:style>
  <w:style w:type="paragraph" w:customStyle="1" w:styleId="nt">
    <w:name w:val="nt"/>
    <w:basedOn w:val="Normal"/>
    <w:uiPriority w:val="99"/>
    <w:semiHidden/>
    <w:pPr>
      <w:ind w:left="567" w:right="567" w:hanging="567"/>
      <w:jc w:val="both"/>
    </w:pPr>
    <w:rPr>
      <w:i/>
      <w:iCs/>
      <w:color w:val="663300"/>
      <w:sz w:val="20"/>
      <w:szCs w:val="20"/>
    </w:rPr>
  </w:style>
  <w:style w:type="paragraph" w:customStyle="1" w:styleId="md">
    <w:name w:val="md"/>
    <w:basedOn w:val="Normal"/>
    <w:uiPriority w:val="99"/>
    <w:semiHidden/>
    <w:pPr>
      <w:ind w:firstLine="567"/>
      <w:jc w:val="both"/>
    </w:pPr>
    <w:rPr>
      <w:i/>
      <w:iCs/>
      <w:color w:val="663300"/>
      <w:sz w:val="20"/>
      <w:szCs w:val="20"/>
    </w:rPr>
  </w:style>
  <w:style w:type="paragraph" w:customStyle="1" w:styleId="sm">
    <w:name w:val="sm"/>
    <w:basedOn w:val="Normal"/>
    <w:uiPriority w:val="99"/>
    <w:semiHidden/>
    <w:pPr>
      <w:ind w:firstLine="567"/>
    </w:pPr>
    <w:rPr>
      <w:b/>
      <w:bCs/>
      <w:sz w:val="20"/>
      <w:szCs w:val="20"/>
    </w:rPr>
  </w:style>
  <w:style w:type="paragraph" w:customStyle="1" w:styleId="cn">
    <w:name w:val="cn"/>
    <w:basedOn w:val="Normal"/>
    <w:uiPriority w:val="99"/>
    <w:semiHidden/>
    <w:pPr>
      <w:jc w:val="center"/>
    </w:pPr>
  </w:style>
  <w:style w:type="paragraph" w:customStyle="1" w:styleId="cb">
    <w:name w:val="cb"/>
    <w:basedOn w:val="Normal"/>
    <w:uiPriority w:val="99"/>
    <w:semiHidden/>
    <w:pPr>
      <w:jc w:val="center"/>
    </w:pPr>
    <w:rPr>
      <w:b/>
      <w:bCs/>
    </w:rPr>
  </w:style>
  <w:style w:type="paragraph" w:customStyle="1" w:styleId="rg">
    <w:name w:val="rg"/>
    <w:basedOn w:val="Normal"/>
    <w:uiPriority w:val="99"/>
    <w:semiHidden/>
    <w:pPr>
      <w:jc w:val="right"/>
    </w:pPr>
  </w:style>
  <w:style w:type="paragraph" w:customStyle="1" w:styleId="js">
    <w:name w:val="js"/>
    <w:basedOn w:val="Normal"/>
    <w:uiPriority w:val="99"/>
    <w:semiHidden/>
    <w:pPr>
      <w:jc w:val="both"/>
    </w:pPr>
  </w:style>
  <w:style w:type="paragraph" w:customStyle="1" w:styleId="lf">
    <w:name w:val="lf"/>
    <w:basedOn w:val="Normal"/>
    <w:uiPriority w:val="99"/>
    <w:semiHidden/>
  </w:style>
  <w:style w:type="paragraph" w:customStyle="1" w:styleId="a">
    <w:name w:val="Текст выноски"/>
    <w:basedOn w:val="Normal"/>
    <w:link w:val="a0"/>
  </w:style>
  <w:style w:type="character" w:customStyle="1" w:styleId="a0">
    <w:name w:val="Текст выноски Знак"/>
    <w:basedOn w:val="DefaultParagraphFont"/>
    <w:link w:val="a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character" w:customStyle="1" w:styleId="msoins0">
    <w:name w:val="msoins"/>
    <w:basedOn w:val="DefaultParagraphFont"/>
  </w:style>
  <w:style w:type="table" w:customStyle="1" w:styleId="a1">
    <w:name w:val="Обычная таблица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4910</Words>
  <Characters>27988</Characters>
  <Application>Microsoft Office Word</Application>
  <DocSecurity>0</DocSecurity>
  <Lines>233</Lines>
  <Paragraphs>65</Paragraphs>
  <ScaleCrop>false</ScaleCrop>
  <Company/>
  <LinksUpToDate>false</LinksUpToDate>
  <CharactersWithSpaces>32833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Ursu</dc:creator>
  <cp:lastModifiedBy>marcela.mazarenco</cp:lastModifiedBy>
  <cp:revision>2</cp:revision>
  <dcterms:created xsi:type="dcterms:W3CDTF">2018-03-16T13:06:00Z</dcterms:created>
  <dcterms:modified xsi:type="dcterms:W3CDTF">2018-03-16T13:06:00Z</dcterms:modified>
</cp:coreProperties>
</file>