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2A5" w:rsidRDefault="00A622A5" w:rsidP="001A63AC">
      <w:pPr>
        <w:spacing w:after="0" w:line="240" w:lineRule="auto"/>
        <w:ind w:firstLine="540"/>
        <w:jc w:val="right"/>
        <w:rPr>
          <w:rFonts w:ascii="Times New Roman" w:hAnsi="Times New Roman"/>
          <w:color w:val="000000"/>
          <w:sz w:val="20"/>
          <w:szCs w:val="20"/>
        </w:rPr>
      </w:pPr>
      <w:r w:rsidRPr="00E10702">
        <w:rPr>
          <w:rFonts w:ascii="Times New Roman" w:hAnsi="Times New Roman"/>
          <w:sz w:val="20"/>
          <w:szCs w:val="20"/>
        </w:rPr>
        <w:t>ANEXA nr. 2</w:t>
      </w:r>
      <w:r w:rsidRPr="00E10702">
        <w:rPr>
          <w:rFonts w:ascii="Times New Roman" w:hAnsi="Times New Roman"/>
          <w:sz w:val="20"/>
          <w:szCs w:val="20"/>
        </w:rPr>
        <w:br/>
      </w:r>
      <w:r>
        <w:rPr>
          <w:rFonts w:ascii="Times New Roman" w:hAnsi="Times New Roman"/>
          <w:color w:val="000000"/>
          <w:sz w:val="20"/>
          <w:szCs w:val="20"/>
        </w:rPr>
        <w:t xml:space="preserve"> la Ordinul Serviciului </w:t>
      </w:r>
      <w:r w:rsidRPr="00E10702">
        <w:rPr>
          <w:rFonts w:ascii="Times New Roman" w:hAnsi="Times New Roman"/>
          <w:color w:val="000000"/>
          <w:sz w:val="20"/>
          <w:szCs w:val="20"/>
        </w:rPr>
        <w:t xml:space="preserve">vamal </w:t>
      </w:r>
    </w:p>
    <w:p w:rsidR="00A622A5" w:rsidRPr="00E10702" w:rsidRDefault="00A622A5" w:rsidP="001A63AC">
      <w:pPr>
        <w:spacing w:after="0" w:line="240" w:lineRule="auto"/>
        <w:ind w:firstLine="540"/>
        <w:jc w:val="right"/>
        <w:rPr>
          <w:rFonts w:ascii="Times New Roman" w:hAnsi="Times New Roman"/>
          <w:bCs/>
          <w:sz w:val="20"/>
          <w:szCs w:val="20"/>
        </w:rPr>
      </w:pPr>
      <w:bookmarkStart w:id="0" w:name="_GoBack"/>
      <w:bookmarkEnd w:id="0"/>
      <w:r w:rsidRPr="00E10702">
        <w:rPr>
          <w:rFonts w:ascii="Times New Roman" w:hAnsi="Times New Roman"/>
          <w:bCs/>
          <w:sz w:val="20"/>
          <w:szCs w:val="20"/>
        </w:rPr>
        <w:t xml:space="preserve">cu privire la formularul, modul de completare  </w:t>
      </w:r>
    </w:p>
    <w:p w:rsidR="00A622A5" w:rsidRPr="00E10702" w:rsidRDefault="00A622A5" w:rsidP="001A63AC">
      <w:pPr>
        <w:spacing w:after="0" w:line="240" w:lineRule="auto"/>
        <w:ind w:firstLine="540"/>
        <w:jc w:val="right"/>
        <w:rPr>
          <w:rFonts w:ascii="Times New Roman" w:hAnsi="Times New Roman"/>
          <w:sz w:val="20"/>
          <w:szCs w:val="20"/>
          <w:lang w:eastAsia="ru-RU"/>
        </w:rPr>
      </w:pPr>
      <w:r w:rsidRPr="00E10702">
        <w:rPr>
          <w:rFonts w:ascii="Times New Roman" w:hAnsi="Times New Roman"/>
          <w:bCs/>
          <w:sz w:val="20"/>
          <w:szCs w:val="20"/>
        </w:rPr>
        <w:t xml:space="preserve"> şi utilizare a deciziei de regularizare</w:t>
      </w:r>
      <w:r w:rsidRPr="00E10702">
        <w:rPr>
          <w:rFonts w:ascii="Times New Roman" w:hAnsi="Times New Roman"/>
          <w:sz w:val="20"/>
          <w:szCs w:val="20"/>
          <w:lang w:eastAsia="ru-RU"/>
        </w:rPr>
        <w:t xml:space="preserve"> </w:t>
      </w:r>
    </w:p>
    <w:p w:rsidR="00A622A5" w:rsidRPr="00E10702" w:rsidRDefault="00A622A5" w:rsidP="001A63AC">
      <w:pPr>
        <w:spacing w:after="0" w:line="240" w:lineRule="auto"/>
        <w:ind w:firstLine="540"/>
        <w:jc w:val="both"/>
        <w:rPr>
          <w:rFonts w:ascii="Times New Roman" w:hAnsi="Times New Roman"/>
          <w:sz w:val="20"/>
          <w:szCs w:val="20"/>
          <w:lang w:eastAsia="ru-RU"/>
        </w:rPr>
      </w:pPr>
      <w:r w:rsidRPr="00E10702">
        <w:rPr>
          <w:rFonts w:ascii="Times New Roman" w:hAnsi="Times New Roman"/>
          <w:sz w:val="20"/>
          <w:szCs w:val="20"/>
          <w:lang w:eastAsia="ru-RU"/>
        </w:rPr>
        <w:t> </w:t>
      </w:r>
    </w:p>
    <w:p w:rsidR="00A622A5" w:rsidRPr="00E10702" w:rsidRDefault="00A622A5" w:rsidP="001A63AC">
      <w:pPr>
        <w:spacing w:after="0" w:line="240" w:lineRule="auto"/>
        <w:ind w:firstLine="540"/>
        <w:jc w:val="both"/>
        <w:rPr>
          <w:rFonts w:ascii="Times New Roman" w:hAnsi="Times New Roman"/>
          <w:sz w:val="20"/>
          <w:szCs w:val="20"/>
          <w:lang w:eastAsia="ru-RU"/>
        </w:rPr>
      </w:pPr>
    </w:p>
    <w:p w:rsidR="00A622A5" w:rsidRPr="00E10702" w:rsidRDefault="00A622A5" w:rsidP="001A63AC">
      <w:pPr>
        <w:spacing w:after="0" w:line="240" w:lineRule="auto"/>
        <w:ind w:firstLine="540"/>
        <w:jc w:val="both"/>
        <w:rPr>
          <w:rFonts w:ascii="Times New Roman" w:hAnsi="Times New Roman"/>
          <w:sz w:val="20"/>
          <w:szCs w:val="20"/>
          <w:lang w:eastAsia="ru-RU"/>
        </w:rPr>
      </w:pPr>
    </w:p>
    <w:p w:rsidR="00A622A5" w:rsidRPr="0003340E" w:rsidRDefault="00A622A5" w:rsidP="001A63AC">
      <w:pPr>
        <w:spacing w:after="0" w:line="240" w:lineRule="auto"/>
        <w:ind w:firstLine="540"/>
        <w:jc w:val="center"/>
        <w:rPr>
          <w:rFonts w:ascii="Times New Roman" w:hAnsi="Times New Roman"/>
          <w:b/>
          <w:bCs/>
          <w:color w:val="000000"/>
          <w:sz w:val="24"/>
          <w:szCs w:val="24"/>
        </w:rPr>
      </w:pPr>
      <w:r w:rsidRPr="0003340E">
        <w:rPr>
          <w:rFonts w:ascii="Times New Roman" w:hAnsi="Times New Roman"/>
          <w:b/>
          <w:bCs/>
          <w:color w:val="000000"/>
          <w:sz w:val="24"/>
          <w:szCs w:val="24"/>
        </w:rPr>
        <w:t>INSTRUCŢIUNEA</w:t>
      </w:r>
    </w:p>
    <w:p w:rsidR="00A622A5" w:rsidRPr="0003340E" w:rsidRDefault="00A622A5" w:rsidP="001A63AC">
      <w:pPr>
        <w:spacing w:after="0" w:line="240" w:lineRule="auto"/>
        <w:ind w:firstLine="540"/>
        <w:jc w:val="center"/>
        <w:rPr>
          <w:rFonts w:ascii="Times New Roman" w:hAnsi="Times New Roman"/>
          <w:b/>
          <w:bCs/>
          <w:color w:val="000000"/>
          <w:sz w:val="24"/>
          <w:szCs w:val="24"/>
        </w:rPr>
      </w:pPr>
      <w:r w:rsidRPr="0003340E">
        <w:rPr>
          <w:rFonts w:ascii="Times New Roman" w:hAnsi="Times New Roman"/>
          <w:b/>
          <w:bCs/>
          <w:color w:val="000000"/>
          <w:sz w:val="24"/>
          <w:szCs w:val="24"/>
        </w:rPr>
        <w:t>privind completarea formularului deciziei de regularizare</w:t>
      </w:r>
    </w:p>
    <w:p w:rsidR="00A622A5" w:rsidRPr="0003340E" w:rsidRDefault="00A622A5" w:rsidP="001A63AC">
      <w:pPr>
        <w:numPr>
          <w:ilvl w:val="1"/>
          <w:numId w:val="1"/>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color w:val="000000"/>
          <w:sz w:val="24"/>
          <w:szCs w:val="24"/>
        </w:rPr>
        <w:t xml:space="preserve">Completarea deciziei de regularizare se realizează: </w:t>
      </w:r>
    </w:p>
    <w:p w:rsidR="00A622A5" w:rsidRPr="0003340E" w:rsidRDefault="00A622A5" w:rsidP="001A63AC">
      <w:pPr>
        <w:numPr>
          <w:ilvl w:val="0"/>
          <w:numId w:val="2"/>
        </w:numPr>
        <w:tabs>
          <w:tab w:val="left" w:pos="709"/>
        </w:tabs>
        <w:spacing w:after="0" w:line="240" w:lineRule="auto"/>
        <w:ind w:left="0" w:firstLine="540"/>
        <w:jc w:val="both"/>
        <w:rPr>
          <w:rFonts w:ascii="Times New Roman" w:hAnsi="Times New Roman"/>
          <w:color w:val="000000"/>
          <w:sz w:val="24"/>
          <w:szCs w:val="24"/>
        </w:rPr>
      </w:pPr>
      <w:r w:rsidRPr="0003340E">
        <w:rPr>
          <w:rFonts w:ascii="Times New Roman" w:hAnsi="Times New Roman"/>
          <w:color w:val="000000"/>
          <w:sz w:val="24"/>
          <w:szCs w:val="24"/>
        </w:rPr>
        <w:t>în procedură manuală, prin utilizarea unui procedeu de dactilografiere sau cu completarea de mână cu condiţia ca datele să fie înscrise în mod lizibil, cu cerneală, folosind majuscule în cazurile temeinic justificate – pe baza aprobării prealabile a Directorului General al Serviciului Vamal/</w:t>
      </w:r>
      <w:r>
        <w:t xml:space="preserve">șefului/șefului adjunct biroului vamal </w:t>
      </w:r>
      <w:r w:rsidRPr="0003340E">
        <w:rPr>
          <w:rFonts w:ascii="Times New Roman" w:hAnsi="Times New Roman"/>
          <w:color w:val="000000"/>
          <w:sz w:val="24"/>
          <w:szCs w:val="24"/>
        </w:rPr>
        <w:t xml:space="preserve">unde se realizează declararea mărfurilor; </w:t>
      </w:r>
    </w:p>
    <w:p w:rsidR="00A622A5" w:rsidRPr="0003340E" w:rsidRDefault="00A622A5" w:rsidP="001A63AC">
      <w:pPr>
        <w:numPr>
          <w:ilvl w:val="0"/>
          <w:numId w:val="2"/>
        </w:numPr>
        <w:tabs>
          <w:tab w:val="left" w:pos="709"/>
        </w:tabs>
        <w:spacing w:after="0" w:line="240" w:lineRule="auto"/>
        <w:ind w:left="0" w:firstLine="540"/>
        <w:jc w:val="both"/>
        <w:rPr>
          <w:rFonts w:ascii="Times New Roman" w:hAnsi="Times New Roman"/>
          <w:color w:val="000000"/>
          <w:sz w:val="24"/>
          <w:szCs w:val="24"/>
        </w:rPr>
      </w:pPr>
      <w:r w:rsidRPr="0003340E">
        <w:rPr>
          <w:rFonts w:ascii="Times New Roman" w:hAnsi="Times New Roman"/>
          <w:color w:val="000000"/>
          <w:sz w:val="24"/>
          <w:szCs w:val="24"/>
        </w:rPr>
        <w:t xml:space="preserve">în procedură informatică, pe baza metodologiei de procesare informatică a deciziei. </w:t>
      </w:r>
    </w:p>
    <w:p w:rsidR="00A622A5" w:rsidRPr="0003340E" w:rsidRDefault="00A622A5" w:rsidP="001A63AC">
      <w:pPr>
        <w:numPr>
          <w:ilvl w:val="1"/>
          <w:numId w:val="1"/>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color w:val="000000"/>
          <w:sz w:val="24"/>
          <w:szCs w:val="24"/>
        </w:rPr>
        <w:t xml:space="preserve">Formularul deciziei este alcătuit din pagina de bază/principală, care cuprinde atât date de ordin general, cât şi detalii cu privire la acţiunile de regularizare care urmează a fi întreprinse în cadrul măsurilor de politică economică şi paginile complementare care conţin informaţii detaliate referitoare la calcularea sau recalcularea drepturilor de import/export. </w:t>
      </w:r>
    </w:p>
    <w:p w:rsidR="00A622A5" w:rsidRPr="0003340E" w:rsidRDefault="00A622A5" w:rsidP="001A63AC">
      <w:pPr>
        <w:numPr>
          <w:ilvl w:val="1"/>
          <w:numId w:val="1"/>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color w:val="000000"/>
          <w:sz w:val="24"/>
          <w:szCs w:val="24"/>
        </w:rPr>
        <w:t xml:space="preserve">Este obligatorie completarea tuturor compartimentelor din pagina de bază. </w:t>
      </w:r>
    </w:p>
    <w:p w:rsidR="00A622A5" w:rsidRPr="0003340E" w:rsidRDefault="00A622A5" w:rsidP="001A63AC">
      <w:pPr>
        <w:numPr>
          <w:ilvl w:val="1"/>
          <w:numId w:val="1"/>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color w:val="000000"/>
          <w:sz w:val="24"/>
          <w:szCs w:val="24"/>
        </w:rPr>
        <w:t xml:space="preserve">Informaţia cuprinsă în prima pagină a formularului este structurată pe compartimente după cum urmează: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b/>
          <w:bCs/>
          <w:color w:val="000000"/>
          <w:sz w:val="24"/>
          <w:szCs w:val="24"/>
        </w:rPr>
        <w:t xml:space="preserve">Rubrica 1 “Elemente de identificare a organului vamal” </w:t>
      </w:r>
      <w:r w:rsidRPr="0003340E">
        <w:rPr>
          <w:rFonts w:ascii="Times New Roman" w:hAnsi="Times New Roman"/>
          <w:bCs/>
          <w:color w:val="000000"/>
          <w:sz w:val="24"/>
          <w:szCs w:val="24"/>
        </w:rPr>
        <w:t>–</w:t>
      </w:r>
      <w:r w:rsidRPr="0003340E">
        <w:rPr>
          <w:rFonts w:ascii="Times New Roman" w:hAnsi="Times New Roman"/>
          <w:b/>
          <w:bCs/>
          <w:color w:val="000000"/>
          <w:sz w:val="24"/>
          <w:szCs w:val="24"/>
        </w:rPr>
        <w:t xml:space="preserve"> </w:t>
      </w:r>
      <w:r w:rsidRPr="0003340E">
        <w:rPr>
          <w:rFonts w:ascii="Times New Roman" w:hAnsi="Times New Roman"/>
          <w:color w:val="000000"/>
          <w:sz w:val="24"/>
          <w:szCs w:val="24"/>
        </w:rPr>
        <w:t xml:space="preserve">se completează în următoarea ordine: Codul fiscal, denumirea, Codul de identificare în sistemul informaţional şi adresa juridică a organului vamal.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b/>
          <w:bCs/>
          <w:color w:val="000000"/>
          <w:sz w:val="24"/>
          <w:szCs w:val="24"/>
        </w:rPr>
        <w:t xml:space="preserve">Rubrica 2 “Elemente de identificare a plătitorului vamal/ persoanei terţe solidar-responsabilă” </w:t>
      </w:r>
      <w:r w:rsidRPr="0003340E">
        <w:rPr>
          <w:rFonts w:ascii="Times New Roman" w:hAnsi="Times New Roman"/>
          <w:bCs/>
          <w:color w:val="000000"/>
          <w:sz w:val="24"/>
          <w:szCs w:val="24"/>
        </w:rPr>
        <w:t>–</w:t>
      </w:r>
      <w:r w:rsidRPr="0003340E">
        <w:rPr>
          <w:rFonts w:ascii="Times New Roman" w:hAnsi="Times New Roman"/>
          <w:b/>
          <w:bCs/>
          <w:color w:val="000000"/>
          <w:sz w:val="24"/>
          <w:szCs w:val="24"/>
        </w:rPr>
        <w:t xml:space="preserve"> </w:t>
      </w:r>
      <w:r w:rsidRPr="0003340E">
        <w:rPr>
          <w:rFonts w:ascii="Times New Roman" w:hAnsi="Times New Roman"/>
          <w:color w:val="000000"/>
          <w:sz w:val="24"/>
          <w:szCs w:val="24"/>
        </w:rPr>
        <w:t xml:space="preserve">se completează în următoarea ordine: denumirea persoanei juridice sau numele şi prenumele persoanei fizice, Codul fiscal sau IDNP, adresa juridică sau domiciliul.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b/>
          <w:bCs/>
          <w:color w:val="000000"/>
          <w:sz w:val="24"/>
          <w:szCs w:val="24"/>
        </w:rPr>
        <w:t xml:space="preserve">Rubrica 3 </w:t>
      </w:r>
      <w:r w:rsidRPr="0003340E">
        <w:rPr>
          <w:rFonts w:ascii="Times New Roman" w:hAnsi="Times New Roman"/>
          <w:color w:val="000000"/>
          <w:sz w:val="24"/>
          <w:szCs w:val="24"/>
        </w:rPr>
        <w:t xml:space="preserve">– se completează cu semnătura </w:t>
      </w:r>
      <w:r>
        <w:t>șefului/șefului adjunct organului (biroului) vamal</w:t>
      </w:r>
      <w:r w:rsidRPr="0003340E">
        <w:rPr>
          <w:rFonts w:ascii="Times New Roman" w:hAnsi="Times New Roman"/>
          <w:color w:val="000000"/>
          <w:sz w:val="24"/>
          <w:szCs w:val="24"/>
        </w:rPr>
        <w:t xml:space="preserve">, data şi ştampila organului vamal. Data aprobării poate fi cea a întocmirii proiectului deciziei sau ulterioară acesteia, dar nu mai târziu de 10 zile lucrătoare din data întocmirii.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b/>
          <w:bCs/>
          <w:color w:val="000000"/>
          <w:sz w:val="24"/>
          <w:szCs w:val="24"/>
        </w:rPr>
        <w:t xml:space="preserve">Rubrica 4 “Motivele întocmirii deciziei” </w:t>
      </w:r>
      <w:r w:rsidRPr="0003340E">
        <w:rPr>
          <w:rFonts w:ascii="Times New Roman" w:hAnsi="Times New Roman"/>
          <w:color w:val="000000"/>
          <w:sz w:val="24"/>
          <w:szCs w:val="24"/>
        </w:rPr>
        <w:t xml:space="preserve">– se completează, cu înscrierea detaliată a cauzelor apariţiei/modificării/anulării obligaţiei vamale şi/sau a necesităţii întreprinderii unor acţiuni de regularizare în cadrul măsurilor de politică economică, indicând </w:t>
      </w:r>
      <w:r w:rsidRPr="0003340E">
        <w:rPr>
          <w:rFonts w:ascii="Times New Roman" w:hAnsi="Times New Roman"/>
          <w:sz w:val="24"/>
          <w:szCs w:val="24"/>
        </w:rPr>
        <w:t>numărul şi data notei de constatare, actului de audit post-vămuire, procesului-verbal de reverificare a declaraţiilor vamale, deciziei de regularizare emisă anterior care se modifică/se anulează, procesului (protocolului) de corecţii, cu menţionarea alineatului respectiv al pct. 3</w:t>
      </w:r>
      <w:r w:rsidRPr="0003340E">
        <w:rPr>
          <w:rFonts w:ascii="Times New Roman" w:hAnsi="Times New Roman"/>
          <w:color w:val="000000"/>
          <w:sz w:val="24"/>
          <w:szCs w:val="24"/>
        </w:rPr>
        <w:t xml:space="preserve"> din prezentul Ordin, încălcării constatate sau hotărârii adoptate.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b/>
          <w:bCs/>
          <w:color w:val="000000"/>
          <w:sz w:val="24"/>
          <w:szCs w:val="24"/>
        </w:rPr>
        <w:t xml:space="preserve">Rubrica 5 “Temeiul legal” </w:t>
      </w:r>
      <w:r w:rsidRPr="0003340E">
        <w:rPr>
          <w:rFonts w:ascii="Times New Roman" w:hAnsi="Times New Roman"/>
          <w:color w:val="000000"/>
          <w:sz w:val="24"/>
          <w:szCs w:val="24"/>
        </w:rPr>
        <w:t xml:space="preserve">– se completează cu indicarea obligatorie a referinţei din actul legislativ şi/sau actul normativ, care nu a fost respectat de către plătitorul vamal sau terţa persoană solidar responsabilă şi/sau dispoziţia din actul legislativ şi/sau normativ care a stat la baza apariţiei/modificării/anulării obligaţiei vamale sau a necesităţii întreprinderii unor acţiuni de regularizare în cadrul măsurilor de politică economică.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i/>
          <w:color w:val="000000"/>
          <w:sz w:val="24"/>
          <w:szCs w:val="24"/>
        </w:rPr>
      </w:pPr>
      <w:r w:rsidRPr="0003340E">
        <w:rPr>
          <w:rFonts w:ascii="Times New Roman" w:hAnsi="Times New Roman"/>
          <w:b/>
          <w:bCs/>
          <w:color w:val="000000"/>
          <w:sz w:val="24"/>
          <w:szCs w:val="24"/>
        </w:rPr>
        <w:t xml:space="preserve">Rubrica 6 </w:t>
      </w:r>
      <w:r w:rsidRPr="0003340E">
        <w:rPr>
          <w:rFonts w:ascii="Times New Roman" w:hAnsi="Times New Roman"/>
          <w:b/>
          <w:i/>
          <w:color w:val="000000"/>
          <w:sz w:val="24"/>
          <w:szCs w:val="24"/>
        </w:rPr>
        <w:t>„</w:t>
      </w:r>
      <w:r w:rsidRPr="0003340E">
        <w:rPr>
          <w:rStyle w:val="FontStyle11"/>
          <w:b/>
          <w:i w:val="0"/>
          <w:iCs/>
          <w:sz w:val="24"/>
          <w:szCs w:val="24"/>
        </w:rPr>
        <w:t>Suma totală a obligaţiei vamale calculată spre încasare"</w:t>
      </w:r>
      <w:r w:rsidRPr="0003340E">
        <w:rPr>
          <w:rStyle w:val="FontStyle11"/>
          <w:i w:val="0"/>
          <w:iCs/>
          <w:sz w:val="24"/>
          <w:szCs w:val="24"/>
        </w:rPr>
        <w:t xml:space="preserve"> – se indică suma totală sau diferenţa (în cazul unei decizii de regularizare suplimentare) calculată spre încasare, inclusiv calculul de bază şi penalitatea până la întocmirea deciziei, formată din totalul rubricilor „total de </w:t>
      </w:r>
      <w:r w:rsidRPr="0003340E">
        <w:rPr>
          <w:rStyle w:val="FontStyle11"/>
          <w:i w:val="0"/>
          <w:iCs/>
          <w:sz w:val="24"/>
          <w:szCs w:val="24"/>
          <w:u w:val="single"/>
        </w:rPr>
        <w:t>încasat</w:t>
      </w:r>
      <w:r w:rsidRPr="0003340E">
        <w:rPr>
          <w:rStyle w:val="FontStyle11"/>
          <w:i w:val="0"/>
          <w:iCs/>
          <w:sz w:val="24"/>
          <w:szCs w:val="24"/>
        </w:rPr>
        <w:t>/anulat" din foile complementare</w:t>
      </w:r>
      <w:r w:rsidRPr="0003340E">
        <w:rPr>
          <w:rFonts w:ascii="Times New Roman" w:hAnsi="Times New Roman"/>
          <w:i/>
          <w:color w:val="000000"/>
          <w:sz w:val="24"/>
          <w:szCs w:val="24"/>
        </w:rPr>
        <w:t xml:space="preserve">.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i/>
          <w:color w:val="000000"/>
          <w:sz w:val="24"/>
          <w:szCs w:val="24"/>
        </w:rPr>
      </w:pPr>
      <w:r w:rsidRPr="0003340E">
        <w:rPr>
          <w:rFonts w:ascii="Times New Roman" w:hAnsi="Times New Roman"/>
          <w:b/>
          <w:bCs/>
          <w:color w:val="000000"/>
          <w:sz w:val="24"/>
          <w:szCs w:val="24"/>
        </w:rPr>
        <w:t>Rubrica 7</w:t>
      </w:r>
      <w:r w:rsidRPr="0003340E">
        <w:rPr>
          <w:rFonts w:ascii="Times New Roman" w:hAnsi="Times New Roman"/>
          <w:bCs/>
          <w:i/>
          <w:color w:val="000000"/>
          <w:sz w:val="24"/>
          <w:szCs w:val="24"/>
        </w:rPr>
        <w:t xml:space="preserve"> </w:t>
      </w:r>
      <w:r w:rsidRPr="0003340E">
        <w:rPr>
          <w:rStyle w:val="FontStyle11"/>
          <w:b/>
          <w:i w:val="0"/>
          <w:iCs/>
          <w:sz w:val="24"/>
          <w:szCs w:val="24"/>
        </w:rPr>
        <w:t>„Suma totală a obligaţiei vamale calculată spre anulare</w:t>
      </w:r>
      <w:r w:rsidRPr="0003340E">
        <w:rPr>
          <w:rFonts w:ascii="Times New Roman" w:hAnsi="Times New Roman"/>
          <w:b/>
          <w:color w:val="000000"/>
          <w:sz w:val="24"/>
          <w:szCs w:val="24"/>
        </w:rPr>
        <w:t>”</w:t>
      </w:r>
      <w:r w:rsidRPr="0003340E">
        <w:rPr>
          <w:rStyle w:val="FontStyle11"/>
          <w:i w:val="0"/>
          <w:iCs/>
          <w:sz w:val="24"/>
          <w:szCs w:val="24"/>
        </w:rPr>
        <w:t xml:space="preserve"> – se indică suma totală sau diferenţa (în cazul unei decizii de regularizare suplimentare) calculată spre anulare, inclusiv calculul de bază şi/sau penalitatea, formată din totalul rubricilor „total de încasat/</w:t>
      </w:r>
      <w:r w:rsidRPr="0003340E">
        <w:rPr>
          <w:rStyle w:val="FontStyle11"/>
          <w:i w:val="0"/>
          <w:iCs/>
          <w:sz w:val="24"/>
          <w:szCs w:val="24"/>
          <w:u w:val="single"/>
        </w:rPr>
        <w:t>anulat</w:t>
      </w:r>
      <w:r w:rsidRPr="0003340E">
        <w:rPr>
          <w:rStyle w:val="FontStyle11"/>
          <w:i w:val="0"/>
          <w:iCs/>
          <w:sz w:val="24"/>
          <w:szCs w:val="24"/>
        </w:rPr>
        <w:t>" din foile complementare</w:t>
      </w:r>
      <w:r w:rsidRPr="0003340E">
        <w:rPr>
          <w:rFonts w:ascii="Times New Roman" w:hAnsi="Times New Roman"/>
          <w:i/>
          <w:color w:val="000000"/>
          <w:sz w:val="24"/>
          <w:szCs w:val="24"/>
        </w:rPr>
        <w:t xml:space="preserve">.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b/>
          <w:bCs/>
          <w:color w:val="000000"/>
          <w:sz w:val="24"/>
          <w:szCs w:val="24"/>
        </w:rPr>
        <w:t>Rubrica 7</w:t>
      </w:r>
      <w:r w:rsidRPr="0003340E">
        <w:rPr>
          <w:rFonts w:ascii="Times New Roman" w:hAnsi="Times New Roman"/>
          <w:b/>
          <w:bCs/>
          <w:color w:val="000000"/>
          <w:sz w:val="24"/>
          <w:szCs w:val="24"/>
          <w:vertAlign w:val="superscript"/>
        </w:rPr>
        <w:t>1</w:t>
      </w:r>
      <w:r w:rsidRPr="0003340E">
        <w:rPr>
          <w:rFonts w:ascii="Times New Roman" w:hAnsi="Times New Roman"/>
          <w:i/>
          <w:color w:val="000000"/>
          <w:sz w:val="24"/>
          <w:szCs w:val="24"/>
        </w:rPr>
        <w:t xml:space="preserve"> </w:t>
      </w:r>
      <w:r w:rsidRPr="0003340E">
        <w:rPr>
          <w:rFonts w:ascii="Times New Roman" w:hAnsi="Times New Roman"/>
          <w:b/>
          <w:color w:val="000000"/>
          <w:sz w:val="24"/>
          <w:szCs w:val="24"/>
        </w:rPr>
        <w:t>„Cuantumul obligaţiei vamale spre restituire”</w:t>
      </w:r>
      <w:r w:rsidRPr="0003340E">
        <w:rPr>
          <w:rFonts w:ascii="Times New Roman" w:hAnsi="Times New Roman"/>
          <w:color w:val="000000"/>
          <w:sz w:val="24"/>
          <w:szCs w:val="24"/>
        </w:rPr>
        <w:t xml:space="preserve"> </w:t>
      </w:r>
      <w:r w:rsidRPr="0003340E">
        <w:rPr>
          <w:rStyle w:val="FontStyle11"/>
          <w:i w:val="0"/>
          <w:iCs/>
          <w:sz w:val="24"/>
          <w:szCs w:val="24"/>
        </w:rPr>
        <w:t xml:space="preserve">– se indică </w:t>
      </w:r>
      <w:r w:rsidRPr="0003340E">
        <w:rPr>
          <w:rFonts w:ascii="Times New Roman" w:hAnsi="Times New Roman"/>
          <w:color w:val="000000"/>
          <w:sz w:val="24"/>
          <w:szCs w:val="24"/>
        </w:rPr>
        <w:t>cuantumul obligaţiei vamale efectiv încasate ce urmează a fi restituită.</w:t>
      </w:r>
    </w:p>
    <w:p w:rsidR="00A622A5" w:rsidRPr="00AF7197" w:rsidRDefault="00A622A5" w:rsidP="001A63AC">
      <w:pPr>
        <w:numPr>
          <w:ilvl w:val="0"/>
          <w:numId w:val="3"/>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b/>
          <w:bCs/>
          <w:color w:val="000000"/>
          <w:sz w:val="24"/>
          <w:szCs w:val="24"/>
        </w:rPr>
        <w:t xml:space="preserve">Rubrica 8 “Dispoziţii finale şi tranzitorii” </w:t>
      </w:r>
      <w:r w:rsidRPr="0003340E">
        <w:rPr>
          <w:rFonts w:ascii="Times New Roman" w:hAnsi="Times New Roman"/>
          <w:color w:val="000000"/>
          <w:sz w:val="24"/>
          <w:szCs w:val="24"/>
        </w:rPr>
        <w:t xml:space="preserve">– se indică termenele şi procedura de executare a </w:t>
      </w:r>
      <w:r w:rsidRPr="00AF7197">
        <w:rPr>
          <w:rFonts w:ascii="Times New Roman" w:hAnsi="Times New Roman"/>
          <w:color w:val="000000"/>
          <w:sz w:val="24"/>
          <w:szCs w:val="24"/>
        </w:rPr>
        <w:t>deciziei</w:t>
      </w:r>
      <w:r w:rsidRPr="00AF7197">
        <w:rPr>
          <w:rFonts w:ascii="Times New Roman" w:hAnsi="Times New Roman"/>
          <w:sz w:val="24"/>
          <w:szCs w:val="24"/>
        </w:rPr>
        <w:t>, precum și informația cu privire la exercitarea căilor de atac.</w:t>
      </w:r>
      <w:r w:rsidRPr="00AF7197">
        <w:rPr>
          <w:rFonts w:ascii="Times New Roman" w:hAnsi="Times New Roman"/>
          <w:color w:val="000000"/>
          <w:sz w:val="24"/>
          <w:szCs w:val="24"/>
        </w:rPr>
        <w:t xml:space="preserve">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b/>
          <w:bCs/>
          <w:color w:val="000000"/>
          <w:sz w:val="24"/>
          <w:szCs w:val="24"/>
        </w:rPr>
      </w:pPr>
      <w:r w:rsidRPr="0003340E">
        <w:rPr>
          <w:rFonts w:ascii="Times New Roman" w:hAnsi="Times New Roman"/>
          <w:b/>
          <w:bCs/>
          <w:color w:val="000000"/>
          <w:sz w:val="24"/>
          <w:szCs w:val="24"/>
        </w:rPr>
        <w:t xml:space="preserve">Rubrica 9 </w:t>
      </w:r>
      <w:r w:rsidRPr="0003340E">
        <w:rPr>
          <w:rFonts w:ascii="Times New Roman" w:hAnsi="Times New Roman"/>
          <w:color w:val="000000"/>
          <w:sz w:val="24"/>
          <w:szCs w:val="24"/>
        </w:rPr>
        <w:t xml:space="preserve">– se aplică consecutiv semnăturile şi anume: – primul semnează persoana care a întocmit decizia cu indicarea numelui, prenumelui, funcţiei, datei întocmirii, precum şi după caz (Aparatul Central al Serviciului Vamal/biroul vamal), semnătura colaboratorilor subdiviziunilor, care au efectuat verificarea corectitudinii întocmirii acesteia.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b/>
          <w:bCs/>
          <w:color w:val="000000"/>
          <w:sz w:val="24"/>
          <w:szCs w:val="24"/>
        </w:rPr>
        <w:t xml:space="preserve">Rubrica 10 </w:t>
      </w:r>
      <w:r w:rsidRPr="0003340E">
        <w:rPr>
          <w:rFonts w:ascii="Times New Roman" w:hAnsi="Times New Roman"/>
          <w:color w:val="000000"/>
          <w:sz w:val="24"/>
          <w:szCs w:val="24"/>
        </w:rPr>
        <w:t xml:space="preserve">– se aplică semnătura reprezentantului împuternicit şi ştampila plătitorului vamal/ persoanei terţe solidar-responsabilă, care a intrat în posesia deciziei de regularizare. Semnătura olografă a reprezentantului împuternicit şi ştampila plătitorului vamal/persoanei terţe solidar-responsabilă, trebuie să figureze pe toate exemplarele deciziei de regularizare.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b/>
          <w:bCs/>
          <w:color w:val="000000"/>
          <w:sz w:val="24"/>
          <w:szCs w:val="24"/>
        </w:rPr>
        <w:t>Rubrica 11 “Foi complementare”</w:t>
      </w:r>
      <w:r w:rsidRPr="0003340E">
        <w:rPr>
          <w:rFonts w:ascii="Times New Roman" w:hAnsi="Times New Roman"/>
          <w:color w:val="000000"/>
          <w:sz w:val="24"/>
          <w:szCs w:val="24"/>
        </w:rPr>
        <w:t xml:space="preserve"> – se indică numărul foilor complementare, ataşate la decizia de regularizare, care constituie parte componentă a acesteia. În funcţie de numărul de poziţii, se va completa numărul de file complementare.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b/>
          <w:bCs/>
          <w:color w:val="000000"/>
          <w:sz w:val="24"/>
          <w:szCs w:val="24"/>
        </w:rPr>
        <w:t xml:space="preserve">Rubrica “anexă la decizia de regularizare nr.” </w:t>
      </w:r>
      <w:r w:rsidRPr="0003340E">
        <w:rPr>
          <w:rFonts w:ascii="Times New Roman" w:hAnsi="Times New Roman"/>
          <w:color w:val="000000"/>
          <w:sz w:val="24"/>
          <w:szCs w:val="24"/>
        </w:rPr>
        <w:t xml:space="preserve">din foaia complementară – se indică numărul deciziei de regularizare.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b/>
          <w:bCs/>
          <w:color w:val="000000"/>
          <w:sz w:val="24"/>
          <w:szCs w:val="24"/>
        </w:rPr>
        <w:t xml:space="preserve">Rubrica “declaraţie” </w:t>
      </w:r>
      <w:r w:rsidRPr="0003340E">
        <w:rPr>
          <w:rFonts w:ascii="Times New Roman" w:hAnsi="Times New Roman"/>
          <w:color w:val="000000"/>
          <w:sz w:val="24"/>
          <w:szCs w:val="24"/>
        </w:rPr>
        <w:t xml:space="preserve">din foaia complementară – se indică regimul vamal din declaraţia vamală.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b/>
          <w:bCs/>
          <w:color w:val="000000"/>
          <w:sz w:val="24"/>
          <w:szCs w:val="24"/>
        </w:rPr>
        <w:t xml:space="preserve">Rubrica “referinţă vama” şi “data” din foaia complementară </w:t>
      </w:r>
      <w:r w:rsidRPr="0003340E">
        <w:rPr>
          <w:rFonts w:ascii="Times New Roman" w:hAnsi="Times New Roman"/>
          <w:color w:val="000000"/>
          <w:sz w:val="24"/>
          <w:szCs w:val="24"/>
        </w:rPr>
        <w:t xml:space="preserve">– în cazul declaraţiei vamale se indică numărul şi data de înregistrare a acesteia, iar în cazul tipizatei TV-14 – numărul chitanţierului atribuit de tipografie.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b/>
          <w:bCs/>
          <w:color w:val="000000"/>
          <w:sz w:val="24"/>
          <w:szCs w:val="24"/>
        </w:rPr>
        <w:t xml:space="preserve">Rubricile cuprinse în foile complementare de la 31 până la 46 </w:t>
      </w:r>
      <w:r w:rsidRPr="0003340E">
        <w:rPr>
          <w:rFonts w:ascii="Times New Roman" w:hAnsi="Times New Roman"/>
          <w:color w:val="000000"/>
          <w:sz w:val="24"/>
          <w:szCs w:val="24"/>
        </w:rPr>
        <w:t xml:space="preserve">– se completează în conformitate cu Normele tehnice privind imprimarea, utilizarea şi completarea declaraţiei vamale în detaliu, aprobate prin ordinul Directorului general al Serviciului Vamal nr. 346-O din 24 decembrie 2009. Indicele 1 semnifică datele iniţiale (din declaraţiile vamale), indicele 2 indică datele constatate ulterior.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b/>
          <w:bCs/>
          <w:color w:val="000000"/>
          <w:sz w:val="24"/>
          <w:szCs w:val="24"/>
        </w:rPr>
        <w:t>Rubrica 47</w:t>
      </w:r>
      <w:r w:rsidRPr="0003340E">
        <w:rPr>
          <w:rFonts w:ascii="Times New Roman" w:hAnsi="Times New Roman"/>
          <w:b/>
          <w:bCs/>
          <w:color w:val="000000"/>
          <w:sz w:val="24"/>
          <w:szCs w:val="24"/>
          <w:vertAlign w:val="superscript"/>
        </w:rPr>
        <w:t>1</w:t>
      </w:r>
      <w:r w:rsidRPr="0003340E">
        <w:rPr>
          <w:rFonts w:ascii="Times New Roman" w:hAnsi="Times New Roman"/>
          <w:b/>
          <w:bCs/>
          <w:color w:val="000000"/>
          <w:sz w:val="24"/>
          <w:szCs w:val="24"/>
        </w:rPr>
        <w:t xml:space="preserve"> “Calculul iniţial al obligaţiei vamale” şi Rubrica 47</w:t>
      </w:r>
      <w:r w:rsidRPr="0003340E">
        <w:rPr>
          <w:rFonts w:ascii="Times New Roman" w:hAnsi="Times New Roman"/>
          <w:b/>
          <w:bCs/>
          <w:color w:val="000000"/>
          <w:sz w:val="24"/>
          <w:szCs w:val="24"/>
          <w:vertAlign w:val="superscript"/>
        </w:rPr>
        <w:t>2</w:t>
      </w:r>
      <w:r w:rsidRPr="0003340E">
        <w:rPr>
          <w:rFonts w:ascii="Times New Roman" w:hAnsi="Times New Roman"/>
          <w:b/>
          <w:bCs/>
          <w:color w:val="000000"/>
          <w:sz w:val="24"/>
          <w:szCs w:val="24"/>
        </w:rPr>
        <w:t xml:space="preserve"> “Calculul ulterior al obligaţiei vamale” </w:t>
      </w:r>
      <w:r w:rsidRPr="0003340E">
        <w:rPr>
          <w:rFonts w:ascii="Times New Roman" w:hAnsi="Times New Roman"/>
          <w:color w:val="000000"/>
          <w:sz w:val="24"/>
          <w:szCs w:val="24"/>
        </w:rPr>
        <w:t xml:space="preserve">– se completează prin descifrarea calculului iniţial al impozitelor şi taxelor primare (sub indicele 1), a calculului ulterior (sub indicele 2), penalităţii calculate pe perioada de la apariţia obligaţiei vamale, până la data întocmirii deciziei şi a diferenţelor constatate. Expresia “încasat” reprezintă sumele calculate spre încasare suplimentară la buget, iar “anulat” – sumele ce urmează a fi stornate plătitorului vamal/persoanei terţe solidar-responsabilă, în fişa personală de evidenţă.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b/>
          <w:bCs/>
          <w:color w:val="000000"/>
          <w:sz w:val="24"/>
          <w:szCs w:val="24"/>
        </w:rPr>
        <w:t>Rubrica “tip”</w:t>
      </w:r>
      <w:r w:rsidRPr="0003340E">
        <w:rPr>
          <w:rFonts w:ascii="Times New Roman" w:hAnsi="Times New Roman"/>
          <w:color w:val="000000"/>
          <w:sz w:val="24"/>
          <w:szCs w:val="24"/>
        </w:rPr>
        <w:t xml:space="preserve">– se indică consecutiv tipul drepturilor de import (010, 020, 028, 030 etc.).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b/>
          <w:bCs/>
          <w:color w:val="000000"/>
          <w:sz w:val="24"/>
          <w:szCs w:val="24"/>
        </w:rPr>
        <w:t>Rubricile 47</w:t>
      </w:r>
      <w:r w:rsidRPr="0003340E">
        <w:rPr>
          <w:rFonts w:ascii="Times New Roman" w:hAnsi="Times New Roman"/>
          <w:b/>
          <w:bCs/>
          <w:color w:val="000000"/>
          <w:sz w:val="24"/>
          <w:szCs w:val="24"/>
          <w:vertAlign w:val="superscript"/>
        </w:rPr>
        <w:t>1-2</w:t>
      </w:r>
      <w:r w:rsidRPr="0003340E">
        <w:rPr>
          <w:rFonts w:ascii="Times New Roman" w:hAnsi="Times New Roman"/>
          <w:b/>
          <w:bCs/>
          <w:color w:val="000000"/>
          <w:sz w:val="24"/>
          <w:szCs w:val="24"/>
        </w:rPr>
        <w:t xml:space="preserve"> coloana “baza de calcul” </w:t>
      </w:r>
      <w:r w:rsidRPr="0003340E">
        <w:rPr>
          <w:rFonts w:ascii="Times New Roman" w:hAnsi="Times New Roman"/>
          <w:color w:val="000000"/>
          <w:sz w:val="24"/>
          <w:szCs w:val="24"/>
        </w:rPr>
        <w:t xml:space="preserve">– se indică valoarea impozabilă a mărfurilor, separat pentru fiecare impozit/taxă sau mărimea taxei fixe.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b/>
          <w:bCs/>
          <w:color w:val="000000"/>
          <w:sz w:val="24"/>
          <w:szCs w:val="24"/>
        </w:rPr>
        <w:t>Rubricile 47</w:t>
      </w:r>
      <w:r w:rsidRPr="0003340E">
        <w:rPr>
          <w:rFonts w:ascii="Times New Roman" w:hAnsi="Times New Roman"/>
          <w:b/>
          <w:bCs/>
          <w:color w:val="000000"/>
          <w:sz w:val="24"/>
          <w:szCs w:val="24"/>
          <w:vertAlign w:val="superscript"/>
        </w:rPr>
        <w:t>1-2</w:t>
      </w:r>
      <w:r w:rsidRPr="0003340E">
        <w:rPr>
          <w:rFonts w:ascii="Times New Roman" w:hAnsi="Times New Roman"/>
          <w:b/>
          <w:bCs/>
          <w:color w:val="000000"/>
          <w:sz w:val="24"/>
          <w:szCs w:val="24"/>
        </w:rPr>
        <w:t xml:space="preserve"> coloana “procent”</w:t>
      </w:r>
      <w:r w:rsidRPr="0003340E">
        <w:rPr>
          <w:rFonts w:ascii="Times New Roman" w:hAnsi="Times New Roman"/>
          <w:color w:val="000000"/>
          <w:sz w:val="24"/>
          <w:szCs w:val="24"/>
        </w:rPr>
        <w:t xml:space="preserve"> – se indică procentul sau cota de impozitare.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b/>
          <w:bCs/>
          <w:color w:val="000000"/>
          <w:sz w:val="24"/>
          <w:szCs w:val="24"/>
        </w:rPr>
        <w:t>Rubricile 47</w:t>
      </w:r>
      <w:r w:rsidRPr="0003340E">
        <w:rPr>
          <w:rFonts w:ascii="Times New Roman" w:hAnsi="Times New Roman"/>
          <w:b/>
          <w:bCs/>
          <w:color w:val="000000"/>
          <w:sz w:val="24"/>
          <w:szCs w:val="24"/>
          <w:vertAlign w:val="superscript"/>
        </w:rPr>
        <w:t>1-2</w:t>
      </w:r>
      <w:r w:rsidRPr="0003340E">
        <w:rPr>
          <w:rFonts w:ascii="Times New Roman" w:hAnsi="Times New Roman"/>
          <w:b/>
          <w:bCs/>
          <w:color w:val="000000"/>
          <w:sz w:val="24"/>
          <w:szCs w:val="24"/>
        </w:rPr>
        <w:t xml:space="preserve"> coloana “cuantum” </w:t>
      </w:r>
      <w:r w:rsidRPr="0003340E">
        <w:rPr>
          <w:rFonts w:ascii="Times New Roman" w:hAnsi="Times New Roman"/>
          <w:color w:val="000000"/>
          <w:sz w:val="24"/>
          <w:szCs w:val="24"/>
        </w:rPr>
        <w:t xml:space="preserve">– se indică suma impozitului sau a taxei.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b/>
          <w:bCs/>
          <w:color w:val="000000"/>
          <w:sz w:val="24"/>
          <w:szCs w:val="24"/>
        </w:rPr>
        <w:t xml:space="preserve">Rubrica “diferenţe” coloanele “încasat”, “anulat” </w:t>
      </w:r>
      <w:r w:rsidRPr="0003340E">
        <w:rPr>
          <w:rFonts w:ascii="Times New Roman" w:hAnsi="Times New Roman"/>
          <w:bCs/>
          <w:color w:val="000000"/>
          <w:sz w:val="24"/>
          <w:szCs w:val="24"/>
        </w:rPr>
        <w:t>–</w:t>
      </w:r>
      <w:r w:rsidRPr="0003340E">
        <w:rPr>
          <w:rFonts w:ascii="Times New Roman" w:hAnsi="Times New Roman"/>
          <w:b/>
          <w:bCs/>
          <w:color w:val="000000"/>
          <w:sz w:val="24"/>
          <w:szCs w:val="24"/>
        </w:rPr>
        <w:t xml:space="preserve"> </w:t>
      </w:r>
      <w:r w:rsidRPr="0003340E">
        <w:rPr>
          <w:rFonts w:ascii="Times New Roman" w:hAnsi="Times New Roman"/>
          <w:bCs/>
          <w:color w:val="000000"/>
          <w:sz w:val="24"/>
          <w:szCs w:val="24"/>
        </w:rPr>
        <w:t>se indică valoarea drepturilor de import obţinute din diferenţa valorilor corespunzătoare din coloanele “cuantum” a rubricilor 47</w:t>
      </w:r>
      <w:r w:rsidRPr="0003340E">
        <w:rPr>
          <w:rFonts w:ascii="Times New Roman" w:hAnsi="Times New Roman"/>
          <w:bCs/>
          <w:color w:val="000000"/>
          <w:sz w:val="24"/>
          <w:szCs w:val="24"/>
          <w:vertAlign w:val="superscript"/>
        </w:rPr>
        <w:t>2</w:t>
      </w:r>
      <w:r w:rsidRPr="0003340E">
        <w:rPr>
          <w:rFonts w:ascii="Times New Roman" w:hAnsi="Times New Roman"/>
          <w:bCs/>
          <w:color w:val="000000"/>
          <w:sz w:val="24"/>
          <w:szCs w:val="24"/>
          <w:vertAlign w:val="subscript"/>
        </w:rPr>
        <w:t xml:space="preserve"> </w:t>
      </w:r>
      <w:r w:rsidRPr="0003340E">
        <w:rPr>
          <w:rFonts w:ascii="Times New Roman" w:hAnsi="Times New Roman"/>
          <w:bCs/>
          <w:color w:val="000000"/>
          <w:sz w:val="24"/>
          <w:szCs w:val="24"/>
        </w:rPr>
        <w:t>şi 47</w:t>
      </w:r>
      <w:r w:rsidRPr="0003340E">
        <w:rPr>
          <w:rFonts w:ascii="Times New Roman" w:hAnsi="Times New Roman"/>
          <w:bCs/>
          <w:color w:val="000000"/>
          <w:sz w:val="24"/>
          <w:szCs w:val="24"/>
          <w:vertAlign w:val="superscript"/>
        </w:rPr>
        <w:t>1</w:t>
      </w:r>
      <w:r w:rsidRPr="0003340E">
        <w:rPr>
          <w:rFonts w:ascii="Times New Roman" w:hAnsi="Times New Roman"/>
          <w:bCs/>
          <w:color w:val="000000"/>
          <w:sz w:val="24"/>
          <w:szCs w:val="24"/>
        </w:rPr>
        <w:t xml:space="preserve">.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b/>
          <w:bCs/>
          <w:color w:val="000000"/>
          <w:sz w:val="24"/>
          <w:szCs w:val="24"/>
        </w:rPr>
        <w:t xml:space="preserve">Rubrica “cuantumul penalităţii” </w:t>
      </w:r>
      <w:r w:rsidRPr="0003340E">
        <w:rPr>
          <w:rFonts w:ascii="Times New Roman" w:hAnsi="Times New Roman"/>
          <w:color w:val="000000"/>
          <w:sz w:val="24"/>
          <w:szCs w:val="24"/>
        </w:rPr>
        <w:t xml:space="preserve">– se înscrie, penalitatea calculată pe perioada de la apariţia obligaţiei vamale, până la data întocmirii deciziei. </w:t>
      </w:r>
    </w:p>
    <w:p w:rsidR="00A622A5" w:rsidRPr="0003340E" w:rsidRDefault="00A622A5" w:rsidP="001A63AC">
      <w:pPr>
        <w:numPr>
          <w:ilvl w:val="0"/>
          <w:numId w:val="3"/>
        </w:numPr>
        <w:tabs>
          <w:tab w:val="left" w:pos="284"/>
        </w:tabs>
        <w:spacing w:after="0" w:line="240" w:lineRule="auto"/>
        <w:ind w:left="0" w:firstLine="540"/>
        <w:jc w:val="both"/>
        <w:rPr>
          <w:rFonts w:ascii="Times New Roman" w:hAnsi="Times New Roman"/>
          <w:color w:val="000000"/>
          <w:sz w:val="24"/>
          <w:szCs w:val="24"/>
        </w:rPr>
      </w:pPr>
      <w:r w:rsidRPr="0003340E">
        <w:rPr>
          <w:rFonts w:ascii="Times New Roman" w:hAnsi="Times New Roman"/>
          <w:b/>
          <w:bCs/>
          <w:color w:val="000000"/>
          <w:sz w:val="24"/>
          <w:szCs w:val="24"/>
        </w:rPr>
        <w:t>Rubrica “total de încasat/anulat”</w:t>
      </w:r>
      <w:r w:rsidRPr="0003340E">
        <w:rPr>
          <w:rFonts w:ascii="Times New Roman" w:hAnsi="Times New Roman"/>
          <w:bCs/>
          <w:color w:val="000000"/>
          <w:sz w:val="24"/>
          <w:szCs w:val="24"/>
        </w:rPr>
        <w:t xml:space="preserve"> </w:t>
      </w:r>
      <w:r w:rsidRPr="0003340E">
        <w:rPr>
          <w:rFonts w:ascii="Times New Roman" w:hAnsi="Times New Roman"/>
          <w:color w:val="000000"/>
          <w:sz w:val="24"/>
          <w:szCs w:val="24"/>
        </w:rPr>
        <w:t xml:space="preserve">– se indică suma obligaţiei vamale, corespunzătoare rubricii “diferenţe de încasat/anulat” şi a rubricii “cuantumul penalităţii”. </w:t>
      </w:r>
    </w:p>
    <w:p w:rsidR="00A622A5" w:rsidRPr="0003340E" w:rsidRDefault="00A622A5" w:rsidP="001A63AC">
      <w:pPr>
        <w:spacing w:after="0" w:line="240" w:lineRule="auto"/>
        <w:ind w:firstLine="540"/>
        <w:rPr>
          <w:sz w:val="24"/>
          <w:szCs w:val="24"/>
        </w:rPr>
      </w:pPr>
    </w:p>
    <w:sectPr w:rsidR="00A622A5" w:rsidRPr="0003340E" w:rsidSect="001A63AC">
      <w:pgSz w:w="11906" w:h="16838"/>
      <w:pgMar w:top="720" w:right="720"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643D9"/>
    <w:multiLevelType w:val="hybridMultilevel"/>
    <w:tmpl w:val="2C16BA82"/>
    <w:lvl w:ilvl="0" w:tplc="04190017">
      <w:start w:val="1"/>
      <w:numFmt w:val="lowerLetter"/>
      <w:lvlText w:val="%1)"/>
      <w:lvlJc w:val="left"/>
      <w:pPr>
        <w:ind w:left="1392" w:hanging="82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468D620D"/>
    <w:multiLevelType w:val="hybridMultilevel"/>
    <w:tmpl w:val="98E07586"/>
    <w:lvl w:ilvl="0" w:tplc="04190001">
      <w:start w:val="1"/>
      <w:numFmt w:val="bullet"/>
      <w:lvlText w:val=""/>
      <w:lvlJc w:val="left"/>
      <w:pPr>
        <w:ind w:left="3731" w:hanging="360"/>
      </w:pPr>
      <w:rPr>
        <w:rFonts w:ascii="Symbol" w:hAnsi="Symbol"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5A512877"/>
    <w:multiLevelType w:val="hybridMultilevel"/>
    <w:tmpl w:val="999A2E0A"/>
    <w:lvl w:ilvl="0" w:tplc="04190017">
      <w:start w:val="1"/>
      <w:numFmt w:val="lowerLetter"/>
      <w:lvlText w:val="%1)"/>
      <w:lvlJc w:val="left"/>
      <w:pPr>
        <w:ind w:left="1004" w:hanging="360"/>
      </w:pPr>
      <w:rPr>
        <w:rFonts w:cs="Times New Roman"/>
      </w:rPr>
    </w:lvl>
    <w:lvl w:ilvl="1" w:tplc="911C4D8A">
      <w:start w:val="1"/>
      <w:numFmt w:val="decimal"/>
      <w:lvlText w:val="%2."/>
      <w:lvlJc w:val="left"/>
      <w:pPr>
        <w:ind w:left="2174" w:hanging="810"/>
      </w:pPr>
      <w:rPr>
        <w:rFonts w:cs="Times New Roman" w:hint="default"/>
        <w:b/>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23B"/>
    <w:rsid w:val="00031BE0"/>
    <w:rsid w:val="0003340E"/>
    <w:rsid w:val="00120164"/>
    <w:rsid w:val="001A63AC"/>
    <w:rsid w:val="001F0A1A"/>
    <w:rsid w:val="006A687F"/>
    <w:rsid w:val="006E7798"/>
    <w:rsid w:val="00974CB8"/>
    <w:rsid w:val="00A622A5"/>
    <w:rsid w:val="00AF7197"/>
    <w:rsid w:val="00B140CF"/>
    <w:rsid w:val="00B1423B"/>
    <w:rsid w:val="00B53307"/>
    <w:rsid w:val="00CD41F8"/>
    <w:rsid w:val="00D15590"/>
    <w:rsid w:val="00D64744"/>
    <w:rsid w:val="00E10702"/>
    <w:rsid w:val="00F26111"/>
    <w:rsid w:val="00F97B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23B"/>
    <w:pPr>
      <w:spacing w:after="200" w:line="276" w:lineRule="auto"/>
    </w:pPr>
    <w:rPr>
      <w:rFonts w:eastAsia="Times New Roman"/>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1">
    <w:name w:val="Font Style11"/>
    <w:uiPriority w:val="99"/>
    <w:rsid w:val="00B1423B"/>
    <w:rPr>
      <w:rFonts w:ascii="Times New Roman" w:hAnsi="Times New Roman"/>
      <w: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1093</Words>
  <Characters>6233</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User</cp:lastModifiedBy>
  <cp:revision>5</cp:revision>
  <dcterms:created xsi:type="dcterms:W3CDTF">2014-09-01T06:02:00Z</dcterms:created>
  <dcterms:modified xsi:type="dcterms:W3CDTF">2019-04-02T10:13:00Z</dcterms:modified>
</cp:coreProperties>
</file>