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18" w:rsidRPr="00F80A4F" w:rsidRDefault="00622B18" w:rsidP="00622B18">
      <w:pPr>
        <w:ind w:left="5040"/>
        <w:jc w:val="righ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80A4F">
        <w:rPr>
          <w:sz w:val="28"/>
          <w:szCs w:val="28"/>
          <w:lang w:val="ro-RO"/>
        </w:rPr>
        <w:t>Anexa nr. 1</w:t>
      </w:r>
    </w:p>
    <w:p w:rsidR="00622B18" w:rsidRPr="00F80A4F" w:rsidRDefault="00622B18" w:rsidP="00622B18">
      <w:pPr>
        <w:pStyle w:val="a3"/>
        <w:ind w:left="5040" w:firstLine="0"/>
        <w:jc w:val="right"/>
        <w:rPr>
          <w:sz w:val="28"/>
          <w:szCs w:val="28"/>
          <w:lang w:val="ro-RO"/>
        </w:rPr>
      </w:pPr>
      <w:r w:rsidRPr="00F80A4F">
        <w:rPr>
          <w:sz w:val="28"/>
          <w:szCs w:val="28"/>
          <w:lang w:val="ro-RO"/>
        </w:rPr>
        <w:t xml:space="preserve">la </w:t>
      </w:r>
      <w:proofErr w:type="spellStart"/>
      <w:r w:rsidRPr="00F80A4F">
        <w:rPr>
          <w:sz w:val="28"/>
          <w:szCs w:val="28"/>
          <w:lang w:val="ro-RO"/>
        </w:rPr>
        <w:t>Hotărîrea</w:t>
      </w:r>
      <w:proofErr w:type="spellEnd"/>
      <w:r w:rsidRPr="00F80A4F">
        <w:rPr>
          <w:sz w:val="28"/>
          <w:szCs w:val="28"/>
          <w:lang w:val="ro-RO"/>
        </w:rPr>
        <w:t xml:space="preserve"> Guvernului nr.</w:t>
      </w:r>
      <w:r>
        <w:rPr>
          <w:sz w:val="28"/>
          <w:szCs w:val="28"/>
          <w:lang w:val="ro-RO"/>
        </w:rPr>
        <w:t>58/2019</w:t>
      </w:r>
    </w:p>
    <w:p w:rsidR="00622B18" w:rsidRPr="00F80A4F" w:rsidRDefault="00622B18" w:rsidP="00622B18">
      <w:pPr>
        <w:pStyle w:val="rg"/>
        <w:rPr>
          <w:sz w:val="28"/>
          <w:szCs w:val="28"/>
          <w:lang w:val="ro-RO"/>
        </w:rPr>
      </w:pPr>
      <w:r w:rsidRPr="00F80A4F">
        <w:rPr>
          <w:sz w:val="28"/>
          <w:szCs w:val="28"/>
          <w:lang w:val="ro-RO"/>
        </w:rPr>
        <w:t xml:space="preserve">  </w:t>
      </w:r>
    </w:p>
    <w:p w:rsidR="00622B18" w:rsidRPr="00F80A4F" w:rsidRDefault="00622B18" w:rsidP="00622B18">
      <w:pPr>
        <w:pStyle w:val="cn"/>
        <w:rPr>
          <w:b/>
          <w:bCs/>
          <w:sz w:val="28"/>
          <w:szCs w:val="28"/>
          <w:lang w:val="ro-RO"/>
        </w:rPr>
      </w:pPr>
      <w:r w:rsidRPr="00F80A4F">
        <w:rPr>
          <w:b/>
          <w:bCs/>
          <w:sz w:val="28"/>
          <w:szCs w:val="28"/>
          <w:lang w:val="ro-RO"/>
        </w:rPr>
        <w:t xml:space="preserve">LISTA </w:t>
      </w:r>
    </w:p>
    <w:p w:rsidR="00622B18" w:rsidRPr="00F80A4F" w:rsidRDefault="00622B18" w:rsidP="00622B18">
      <w:pPr>
        <w:pStyle w:val="cn"/>
        <w:rPr>
          <w:b/>
          <w:bCs/>
          <w:sz w:val="28"/>
          <w:szCs w:val="28"/>
          <w:lang w:val="ro-RO"/>
        </w:rPr>
      </w:pPr>
      <w:r w:rsidRPr="00F80A4F">
        <w:rPr>
          <w:b/>
          <w:bCs/>
          <w:sz w:val="28"/>
          <w:szCs w:val="28"/>
          <w:lang w:val="ro-RO"/>
        </w:rPr>
        <w:t xml:space="preserve">serviciilor </w:t>
      </w:r>
      <w:proofErr w:type="spellStart"/>
      <w:r w:rsidRPr="00F80A4F">
        <w:rPr>
          <w:b/>
          <w:bCs/>
          <w:sz w:val="28"/>
          <w:szCs w:val="28"/>
          <w:lang w:val="ro-RO"/>
        </w:rPr>
        <w:t>şi</w:t>
      </w:r>
      <w:proofErr w:type="spellEnd"/>
      <w:r w:rsidRPr="00F80A4F">
        <w:rPr>
          <w:b/>
          <w:bCs/>
          <w:sz w:val="28"/>
          <w:szCs w:val="28"/>
          <w:lang w:val="ro-RO"/>
        </w:rPr>
        <w:t xml:space="preserve"> tarifelor</w:t>
      </w:r>
      <w:r w:rsidRPr="00F80A4F">
        <w:rPr>
          <w:sz w:val="28"/>
          <w:szCs w:val="28"/>
          <w:lang w:val="ro-RO"/>
        </w:rPr>
        <w:t xml:space="preserve"> </w:t>
      </w:r>
      <w:r w:rsidRPr="00F80A4F">
        <w:rPr>
          <w:b/>
          <w:bCs/>
          <w:sz w:val="28"/>
          <w:szCs w:val="28"/>
          <w:lang w:val="ro-RO"/>
        </w:rPr>
        <w:t xml:space="preserve">pentru probarea </w:t>
      </w:r>
      <w:proofErr w:type="spellStart"/>
      <w:r w:rsidRPr="00F80A4F">
        <w:rPr>
          <w:b/>
          <w:bCs/>
          <w:sz w:val="28"/>
          <w:szCs w:val="28"/>
          <w:lang w:val="ro-RO"/>
        </w:rPr>
        <w:t>şi</w:t>
      </w:r>
      <w:proofErr w:type="spellEnd"/>
      <w:r w:rsidRPr="00F80A4F">
        <w:rPr>
          <w:b/>
          <w:bCs/>
          <w:sz w:val="28"/>
          <w:szCs w:val="28"/>
          <w:lang w:val="ro-RO"/>
        </w:rPr>
        <w:t xml:space="preserve"> marcarea obiectelor </w:t>
      </w:r>
    </w:p>
    <w:p w:rsidR="00622B18" w:rsidRPr="00F80A4F" w:rsidRDefault="00622B18" w:rsidP="00622B18">
      <w:pPr>
        <w:pStyle w:val="cn"/>
        <w:rPr>
          <w:b/>
          <w:bCs/>
          <w:sz w:val="28"/>
          <w:szCs w:val="28"/>
          <w:lang w:val="ro-RO"/>
        </w:rPr>
      </w:pPr>
      <w:r w:rsidRPr="00F80A4F">
        <w:rPr>
          <w:b/>
          <w:bCs/>
          <w:sz w:val="28"/>
          <w:szCs w:val="28"/>
          <w:lang w:val="ro-RO"/>
        </w:rPr>
        <w:t xml:space="preserve">din metale </w:t>
      </w:r>
      <w:proofErr w:type="spellStart"/>
      <w:r w:rsidRPr="00F80A4F">
        <w:rPr>
          <w:b/>
          <w:bCs/>
          <w:sz w:val="28"/>
          <w:szCs w:val="28"/>
          <w:lang w:val="ro-RO"/>
        </w:rPr>
        <w:t>preţioase</w:t>
      </w:r>
      <w:proofErr w:type="spellEnd"/>
      <w:r w:rsidRPr="00F80A4F">
        <w:rPr>
          <w:b/>
          <w:bCs/>
          <w:sz w:val="28"/>
          <w:szCs w:val="28"/>
          <w:lang w:val="ro-RO"/>
        </w:rPr>
        <w:t xml:space="preserve">, expertizarea metalelor </w:t>
      </w:r>
      <w:proofErr w:type="spellStart"/>
      <w:r w:rsidRPr="00F80A4F">
        <w:rPr>
          <w:b/>
          <w:bCs/>
          <w:sz w:val="28"/>
          <w:szCs w:val="28"/>
          <w:lang w:val="ro-RO"/>
        </w:rPr>
        <w:t>preţioase</w:t>
      </w:r>
      <w:proofErr w:type="spellEnd"/>
      <w:r w:rsidRPr="00F80A4F">
        <w:rPr>
          <w:b/>
          <w:bCs/>
          <w:sz w:val="28"/>
          <w:szCs w:val="28"/>
          <w:lang w:val="ro-RO"/>
        </w:rPr>
        <w:t xml:space="preserve"> </w:t>
      </w:r>
    </w:p>
    <w:p w:rsidR="00622B18" w:rsidRPr="00F80A4F" w:rsidRDefault="00622B18" w:rsidP="00622B18">
      <w:pPr>
        <w:pStyle w:val="cn"/>
        <w:rPr>
          <w:sz w:val="28"/>
          <w:szCs w:val="28"/>
          <w:lang w:val="ro-RO"/>
        </w:rPr>
      </w:pPr>
      <w:proofErr w:type="spellStart"/>
      <w:r w:rsidRPr="00F80A4F">
        <w:rPr>
          <w:b/>
          <w:bCs/>
          <w:sz w:val="28"/>
          <w:szCs w:val="28"/>
          <w:lang w:val="ro-RO"/>
        </w:rPr>
        <w:t>şi</w:t>
      </w:r>
      <w:proofErr w:type="spellEnd"/>
      <w:r w:rsidRPr="00F80A4F">
        <w:rPr>
          <w:b/>
          <w:bCs/>
          <w:sz w:val="28"/>
          <w:szCs w:val="28"/>
          <w:lang w:val="ro-RO"/>
        </w:rPr>
        <w:t xml:space="preserve"> diagnosticarea pietrelor </w:t>
      </w:r>
      <w:proofErr w:type="spellStart"/>
      <w:r w:rsidRPr="00F80A4F">
        <w:rPr>
          <w:b/>
          <w:bCs/>
          <w:sz w:val="28"/>
          <w:szCs w:val="28"/>
          <w:lang w:val="ro-RO"/>
        </w:rPr>
        <w:t>preţioase</w:t>
      </w:r>
      <w:proofErr w:type="spellEnd"/>
      <w:r w:rsidRPr="00F80A4F">
        <w:rPr>
          <w:sz w:val="28"/>
          <w:szCs w:val="28"/>
          <w:lang w:val="ro-RO"/>
        </w:rPr>
        <w:t xml:space="preserve"> </w:t>
      </w:r>
    </w:p>
    <w:p w:rsidR="00622B18" w:rsidRPr="00C84903" w:rsidRDefault="00622B18" w:rsidP="00622B18">
      <w:pPr>
        <w:pStyle w:val="cn"/>
        <w:rPr>
          <w:sz w:val="20"/>
          <w:szCs w:val="28"/>
          <w:lang w:val="ro-RO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3"/>
        <w:gridCol w:w="5415"/>
        <w:gridCol w:w="1415"/>
        <w:gridCol w:w="2408"/>
      </w:tblGrid>
      <w:tr w:rsidR="00622B18" w:rsidRPr="00F80A4F" w:rsidTr="00BC1C6D">
        <w:trPr>
          <w:trHeight w:val="647"/>
        </w:trPr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Nr.</w:t>
            </w:r>
            <w:r>
              <w:rPr>
                <w:b/>
                <w:bCs/>
                <w:sz w:val="24"/>
                <w:szCs w:val="24"/>
                <w:lang w:val="ro-RO" w:eastAsia="ru-RU"/>
              </w:rPr>
              <w:t xml:space="preserve"> crt.</w:t>
            </w:r>
          </w:p>
        </w:tc>
        <w:tc>
          <w:tcPr>
            <w:tcW w:w="2732" w:type="pct"/>
          </w:tcPr>
          <w:p w:rsidR="00622B18" w:rsidRPr="00A25049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25049">
              <w:rPr>
                <w:b/>
                <w:bCs/>
                <w:sz w:val="24"/>
                <w:szCs w:val="24"/>
                <w:lang w:val="ro-RO" w:eastAsia="ru-RU"/>
              </w:rPr>
              <w:t xml:space="preserve">Servicii prestate </w:t>
            </w:r>
          </w:p>
        </w:tc>
        <w:tc>
          <w:tcPr>
            <w:tcW w:w="714" w:type="pct"/>
          </w:tcPr>
          <w:p w:rsidR="00622B18" w:rsidRPr="00A25049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25049">
              <w:rPr>
                <w:b/>
                <w:bCs/>
                <w:sz w:val="24"/>
                <w:szCs w:val="24"/>
                <w:lang w:val="ro-RO" w:eastAsia="ru-RU"/>
              </w:rPr>
              <w:t>Unitate de măsură</w:t>
            </w:r>
          </w:p>
        </w:tc>
        <w:tc>
          <w:tcPr>
            <w:tcW w:w="1215" w:type="pct"/>
          </w:tcPr>
          <w:p w:rsidR="00622B18" w:rsidRPr="00A25049" w:rsidRDefault="00622B18" w:rsidP="00BC1C6D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A25049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Tarif</w:t>
            </w:r>
          </w:p>
          <w:p w:rsidR="00622B18" w:rsidRPr="00A25049" w:rsidRDefault="00622B18" w:rsidP="00BC1C6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A25049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(lei, fără TVA)</w:t>
            </w:r>
          </w:p>
        </w:tc>
      </w:tr>
    </w:tbl>
    <w:p w:rsidR="00622B18" w:rsidRPr="00C84903" w:rsidRDefault="00622B18" w:rsidP="00622B18">
      <w:pPr>
        <w:rPr>
          <w:sz w:val="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3"/>
        <w:gridCol w:w="5415"/>
        <w:gridCol w:w="1415"/>
        <w:gridCol w:w="2408"/>
      </w:tblGrid>
      <w:tr w:rsidR="00622B18" w:rsidRPr="00F80A4F" w:rsidTr="00BC1C6D">
        <w:trPr>
          <w:cantSplit/>
          <w:tblHeader/>
        </w:trPr>
        <w:tc>
          <w:tcPr>
            <w:tcW w:w="339" w:type="pct"/>
          </w:tcPr>
          <w:p w:rsidR="00622B18" w:rsidRPr="00C84903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84903">
              <w:rPr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2732" w:type="pct"/>
          </w:tcPr>
          <w:p w:rsidR="00622B18" w:rsidRPr="00C84903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84903">
              <w:rPr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714" w:type="pct"/>
          </w:tcPr>
          <w:p w:rsidR="00622B18" w:rsidRPr="00C84903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C84903">
              <w:rPr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215" w:type="pct"/>
          </w:tcPr>
          <w:p w:rsidR="00622B18" w:rsidRPr="00C84903" w:rsidRDefault="00622B18" w:rsidP="00BC1C6D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C84903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4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4661" w:type="pct"/>
            <w:gridSpan w:val="3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i/>
                <w:sz w:val="24"/>
                <w:szCs w:val="24"/>
                <w:lang w:val="ro-RO" w:eastAsia="ru-RU"/>
              </w:rPr>
              <w:t>Probarea și marcarea obiectelor din metale prețioase și pietre prețioase</w:t>
            </w:r>
            <w:r>
              <w:rPr>
                <w:b/>
                <w:i/>
                <w:sz w:val="24"/>
                <w:szCs w:val="24"/>
                <w:lang w:val="ro-RO" w:eastAsia="ru-RU"/>
              </w:rPr>
              <w:t>: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1)</w:t>
            </w:r>
          </w:p>
        </w:tc>
        <w:tc>
          <w:tcPr>
            <w:tcW w:w="4661" w:type="pct"/>
            <w:gridSpan w:val="3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pentru persoane fizice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pentru persoane juridice producători autohtoni care practică activitate de întreprinzător:</w:t>
            </w:r>
            <w:r w:rsidRPr="00F80A4F">
              <w:rPr>
                <w:sz w:val="24"/>
                <w:szCs w:val="24"/>
                <w:lang w:val="ro-RO" w:eastAsia="ru-RU"/>
              </w:rPr>
              <w:t>  </w:t>
            </w:r>
          </w:p>
        </w:tc>
      </w:tr>
      <w:tr w:rsidR="00622B18" w:rsidRPr="00F80A4F" w:rsidTr="00BC1C6D">
        <w:tc>
          <w:tcPr>
            <w:tcW w:w="339" w:type="pct"/>
            <w:vMerge w:val="restar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 </w:t>
            </w: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din aur, platină, paladiu: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 xml:space="preserve">cu greutatea de </w:t>
            </w:r>
            <w:proofErr w:type="spellStart"/>
            <w:r w:rsidRPr="00F80A4F">
              <w:rPr>
                <w:sz w:val="24"/>
                <w:szCs w:val="24"/>
                <w:lang w:val="ro-RO" w:eastAsia="ru-RU"/>
              </w:rPr>
              <w:t>pînă</w:t>
            </w:r>
            <w:proofErr w:type="spellEnd"/>
            <w:r w:rsidRPr="00F80A4F">
              <w:rPr>
                <w:sz w:val="24"/>
                <w:szCs w:val="24"/>
                <w:lang w:val="ro-RO" w:eastAsia="ru-RU"/>
              </w:rPr>
              <w:t xml:space="preserve"> la 3,00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7,20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la 3,01 la 10,00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2,88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peste 10,00 grame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3,24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detalii de diferite culori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4,32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din argint: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 xml:space="preserve">cu greutatea de </w:t>
            </w:r>
            <w:proofErr w:type="spellStart"/>
            <w:r w:rsidRPr="00F80A4F">
              <w:rPr>
                <w:sz w:val="24"/>
                <w:szCs w:val="24"/>
                <w:lang w:val="ro-RO" w:eastAsia="ru-RU"/>
              </w:rPr>
              <w:t>pînă</w:t>
            </w:r>
            <w:proofErr w:type="spellEnd"/>
            <w:r w:rsidRPr="00F80A4F">
              <w:rPr>
                <w:sz w:val="24"/>
                <w:szCs w:val="24"/>
                <w:lang w:val="ro-RO" w:eastAsia="ru-RU"/>
              </w:rPr>
              <w:t xml:space="preserve"> la 3,00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3,60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la 3,01 la 20,00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1,44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peste 20,00 grame</w:t>
            </w:r>
          </w:p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28,80</w:t>
            </w:r>
          </w:p>
          <w:p w:rsidR="00622B18" w:rsidRPr="00F80A4F" w:rsidRDefault="00622B18" w:rsidP="00BC1C6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+ 0,72 pentru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fiecare gram care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depăşeşte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20 </w:t>
            </w: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grame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2)</w:t>
            </w:r>
          </w:p>
        </w:tc>
        <w:tc>
          <w:tcPr>
            <w:tcW w:w="4661" w:type="pct"/>
            <w:gridSpan w:val="3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în cazul importării articolelor din metale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preţioase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pietre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preţioase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de către persoane fizice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juridice care practică activitate de întreprinzător:</w:t>
            </w:r>
          </w:p>
        </w:tc>
      </w:tr>
      <w:tr w:rsidR="00622B18" w:rsidRPr="00F80A4F" w:rsidTr="00BC1C6D">
        <w:tc>
          <w:tcPr>
            <w:tcW w:w="339" w:type="pct"/>
            <w:vMerge w:val="restar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din aur, platină, paladiu: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 xml:space="preserve">cu greutatea de </w:t>
            </w:r>
            <w:proofErr w:type="spellStart"/>
            <w:r w:rsidRPr="00F80A4F">
              <w:rPr>
                <w:sz w:val="24"/>
                <w:szCs w:val="24"/>
                <w:lang w:val="ro-RO" w:eastAsia="ru-RU"/>
              </w:rPr>
              <w:t>pînă</w:t>
            </w:r>
            <w:proofErr w:type="spellEnd"/>
            <w:r w:rsidRPr="00F80A4F">
              <w:rPr>
                <w:sz w:val="24"/>
                <w:szCs w:val="24"/>
                <w:lang w:val="ro-RO" w:eastAsia="ru-RU"/>
              </w:rPr>
              <w:t xml:space="preserve"> la 3,00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14,40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la 3,01 la 10</w:t>
            </w:r>
            <w:r>
              <w:rPr>
                <w:sz w:val="24"/>
                <w:szCs w:val="24"/>
                <w:lang w:val="ro-RO" w:eastAsia="ru-RU"/>
              </w:rPr>
              <w:t>,00</w:t>
            </w:r>
            <w:r w:rsidRPr="00F80A4F">
              <w:rPr>
                <w:sz w:val="24"/>
                <w:szCs w:val="24"/>
                <w:lang w:val="ro-RO" w:eastAsia="ru-RU"/>
              </w:rPr>
              <w:t xml:space="preserve">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5,76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peste 10,00 grame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6,48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detalii de diferite culori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8,64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din argint: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 xml:space="preserve">cu greutatea de </w:t>
            </w:r>
            <w:proofErr w:type="spellStart"/>
            <w:r w:rsidRPr="00F80A4F">
              <w:rPr>
                <w:sz w:val="24"/>
                <w:szCs w:val="24"/>
                <w:lang w:val="ro-RO" w:eastAsia="ru-RU"/>
              </w:rPr>
              <w:t>pînă</w:t>
            </w:r>
            <w:proofErr w:type="spellEnd"/>
            <w:r w:rsidRPr="00F80A4F">
              <w:rPr>
                <w:sz w:val="24"/>
                <w:szCs w:val="24"/>
                <w:lang w:val="ro-RO" w:eastAsia="ru-RU"/>
              </w:rPr>
              <w:t xml:space="preserve"> la 3,00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7,20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la 3,01 la 20,00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2,88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peste 20,00 grame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57,60 </w:t>
            </w:r>
          </w:p>
          <w:p w:rsidR="00622B18" w:rsidRPr="00F80A4F" w:rsidRDefault="00622B18" w:rsidP="00BC1C6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+ 1,44 pentru fiecare gram care </w:t>
            </w:r>
            <w:proofErr w:type="spellStart"/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depăşeşte</w:t>
            </w:r>
            <w:proofErr w:type="spellEnd"/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20 grame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3)</w:t>
            </w:r>
          </w:p>
        </w:tc>
        <w:tc>
          <w:tcPr>
            <w:tcW w:w="4661" w:type="pct"/>
            <w:gridSpan w:val="3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în cazul importării articolelor din metale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preţioase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pietre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preţioase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de către persoane fizice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juridice care practică activitate de întreprinzător, marcate cu semnul de  marcare de stat a</w:t>
            </w:r>
            <w:r>
              <w:rPr>
                <w:b/>
                <w:bCs/>
                <w:sz w:val="24"/>
                <w:szCs w:val="24"/>
                <w:lang w:val="ro-RO" w:eastAsia="ru-RU"/>
              </w:rPr>
              <w:t>l</w:t>
            </w:r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ţării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producătoare:</w:t>
            </w: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</w:tr>
      <w:tr w:rsidR="00622B18" w:rsidRPr="00F80A4F" w:rsidTr="00BC1C6D">
        <w:tc>
          <w:tcPr>
            <w:tcW w:w="339" w:type="pct"/>
            <w:vMerge w:val="restar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din aur, platină, paladiu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4,92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din argint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3,18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4)</w:t>
            </w:r>
          </w:p>
        </w:tc>
        <w:tc>
          <w:tcPr>
            <w:tcW w:w="4661" w:type="pct"/>
            <w:gridSpan w:val="3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sz w:val="24"/>
                <w:szCs w:val="24"/>
                <w:lang w:val="ro-RO" w:eastAsia="ru-RU"/>
              </w:rPr>
              <w:t>în cazul recepționării articolelor</w:t>
            </w:r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din metale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preţioase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pietre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preţioase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, </w:t>
            </w:r>
            <w:r w:rsidRPr="00F80A4F">
              <w:rPr>
                <w:b/>
                <w:sz w:val="24"/>
                <w:szCs w:val="24"/>
                <w:lang w:val="ro-RO" w:eastAsia="ru-RU"/>
              </w:rPr>
              <w:t>în baza contractelor civile,</w:t>
            </w:r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de către persoane fizice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juridice care practică activitate de întreprinzător:</w:t>
            </w:r>
          </w:p>
        </w:tc>
      </w:tr>
      <w:tr w:rsidR="00622B18" w:rsidRPr="00F80A4F" w:rsidTr="00BC1C6D">
        <w:tc>
          <w:tcPr>
            <w:tcW w:w="339" w:type="pct"/>
            <w:vMerge w:val="restar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din aur, platină, paladiu: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 xml:space="preserve">cu greutatea de </w:t>
            </w:r>
            <w:proofErr w:type="spellStart"/>
            <w:r w:rsidRPr="00F80A4F">
              <w:rPr>
                <w:sz w:val="24"/>
                <w:szCs w:val="24"/>
                <w:lang w:val="ro-RO" w:eastAsia="ru-RU"/>
              </w:rPr>
              <w:t>pînă</w:t>
            </w:r>
            <w:proofErr w:type="spellEnd"/>
            <w:r w:rsidRPr="00F80A4F">
              <w:rPr>
                <w:sz w:val="24"/>
                <w:szCs w:val="24"/>
                <w:lang w:val="ro-RO" w:eastAsia="ru-RU"/>
              </w:rPr>
              <w:t xml:space="preserve"> la 3,00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18,00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la 3,01 la 10</w:t>
            </w:r>
            <w:r>
              <w:rPr>
                <w:sz w:val="24"/>
                <w:szCs w:val="24"/>
                <w:lang w:val="ro-RO" w:eastAsia="ru-RU"/>
              </w:rPr>
              <w:t>,00</w:t>
            </w:r>
            <w:r w:rsidRPr="00F80A4F">
              <w:rPr>
                <w:sz w:val="24"/>
                <w:szCs w:val="24"/>
                <w:lang w:val="ro-RO" w:eastAsia="ru-RU"/>
              </w:rPr>
              <w:t xml:space="preserve">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7,20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peste 10,00 grame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8,10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detalii de diferite culori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10,80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din argint: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 xml:space="preserve">cu greutatea de </w:t>
            </w:r>
            <w:proofErr w:type="spellStart"/>
            <w:r w:rsidRPr="00F80A4F">
              <w:rPr>
                <w:sz w:val="24"/>
                <w:szCs w:val="24"/>
                <w:lang w:val="ro-RO" w:eastAsia="ru-RU"/>
              </w:rPr>
              <w:t>pînă</w:t>
            </w:r>
            <w:proofErr w:type="spellEnd"/>
            <w:r w:rsidRPr="00F80A4F">
              <w:rPr>
                <w:sz w:val="24"/>
                <w:szCs w:val="24"/>
                <w:lang w:val="ro-RO" w:eastAsia="ru-RU"/>
              </w:rPr>
              <w:t xml:space="preserve"> la 3,00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9,00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la 3,01 la 20,00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3,60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peste 20,00 grame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72,00</w:t>
            </w:r>
          </w:p>
          <w:p w:rsidR="00622B18" w:rsidRPr="00F80A4F" w:rsidRDefault="00622B18" w:rsidP="00BC1C6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+ 1,80 pentru fiecare gram care </w:t>
            </w:r>
            <w:proofErr w:type="spellStart"/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depăşeşte</w:t>
            </w:r>
            <w:proofErr w:type="spellEnd"/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20 grame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5)</w:t>
            </w:r>
          </w:p>
        </w:tc>
        <w:tc>
          <w:tcPr>
            <w:tcW w:w="4661" w:type="pct"/>
            <w:gridSpan w:val="3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pentru persoanele fizice care nu practică activitate de întreprinzător în domeniul metalelor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preţioase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:</w:t>
            </w: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</w:tr>
      <w:tr w:rsidR="00622B18" w:rsidRPr="00F80A4F" w:rsidTr="00BC1C6D">
        <w:tc>
          <w:tcPr>
            <w:tcW w:w="339" w:type="pct"/>
            <w:vMerge w:val="restar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din aur, platină, paladiu: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 xml:space="preserve">cu greutatea de </w:t>
            </w:r>
            <w:proofErr w:type="spellStart"/>
            <w:r w:rsidRPr="00F80A4F">
              <w:rPr>
                <w:sz w:val="24"/>
                <w:szCs w:val="24"/>
                <w:lang w:val="ro-RO" w:eastAsia="ru-RU"/>
              </w:rPr>
              <w:t>pînă</w:t>
            </w:r>
            <w:proofErr w:type="spellEnd"/>
            <w:r w:rsidRPr="00F80A4F">
              <w:rPr>
                <w:sz w:val="24"/>
                <w:szCs w:val="24"/>
                <w:lang w:val="ro-RO" w:eastAsia="ru-RU"/>
              </w:rPr>
              <w:t xml:space="preserve"> la 3,00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28,80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la 3,01 la 10,00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11,52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peste 10,00 grame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12,96</w:t>
            </w:r>
          </w:p>
        </w:tc>
      </w:tr>
      <w:tr w:rsidR="00622B18" w:rsidRPr="00F80A4F" w:rsidTr="00BC1C6D">
        <w:trPr>
          <w:trHeight w:val="230"/>
        </w:trPr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  <w:tcBorders>
              <w:bottom w:val="single" w:sz="4" w:space="0" w:color="auto"/>
            </w:tcBorders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detalii de diferite culori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17,28</w:t>
            </w:r>
          </w:p>
        </w:tc>
      </w:tr>
      <w:tr w:rsidR="00622B18" w:rsidRPr="00F80A4F" w:rsidTr="00BC1C6D">
        <w:trPr>
          <w:trHeight w:val="250"/>
        </w:trPr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  <w:tcBorders>
              <w:top w:val="single" w:sz="4" w:space="0" w:color="auto"/>
            </w:tcBorders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din argint: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 xml:space="preserve">cu greutatea de </w:t>
            </w:r>
            <w:proofErr w:type="spellStart"/>
            <w:r w:rsidRPr="00F80A4F">
              <w:rPr>
                <w:sz w:val="24"/>
                <w:szCs w:val="24"/>
                <w:lang w:val="ro-RO" w:eastAsia="ru-RU"/>
              </w:rPr>
              <w:t>pînă</w:t>
            </w:r>
            <w:proofErr w:type="spellEnd"/>
            <w:r w:rsidRPr="00F80A4F">
              <w:rPr>
                <w:sz w:val="24"/>
                <w:szCs w:val="24"/>
                <w:lang w:val="ro-RO" w:eastAsia="ru-RU"/>
              </w:rPr>
              <w:t xml:space="preserve"> la 3,00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14,40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la 3,01 la 20,00 grame inclusiv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5,76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cu greutatea de peste 20,00 grame</w:t>
            </w:r>
          </w:p>
          <w:p w:rsidR="00622B18" w:rsidRPr="00F80A4F" w:rsidRDefault="00622B18" w:rsidP="00BC1C6D">
            <w:pPr>
              <w:spacing w:before="100" w:beforeAutospacing="1" w:after="100" w:afterAutospacing="1"/>
              <w:ind w:firstLine="359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57,60</w:t>
            </w:r>
          </w:p>
          <w:p w:rsidR="00622B18" w:rsidRPr="00F80A4F" w:rsidRDefault="00622B18" w:rsidP="00BC1C6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+ 1,44 pentru fiecare gram care </w:t>
            </w:r>
            <w:proofErr w:type="spellStart"/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depăşeşte</w:t>
            </w:r>
            <w:proofErr w:type="spellEnd"/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20 grame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b/>
                <w:i/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i/>
                <w:sz w:val="24"/>
                <w:szCs w:val="24"/>
                <w:lang w:val="ro-RO" w:eastAsia="ru-RU"/>
              </w:rPr>
              <w:t>Marcarea lingourilor din metale prețioase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0,50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4661" w:type="pct"/>
            <w:gridSpan w:val="3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Expertizarea articolelor, determinarea </w:t>
            </w:r>
            <w:proofErr w:type="spellStart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>veridicităţii</w:t>
            </w:r>
            <w:proofErr w:type="spellEnd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>calităţii</w:t>
            </w:r>
            <w:proofErr w:type="spellEnd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mărcii de stat </w:t>
            </w:r>
            <w:proofErr w:type="spellStart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a semnelor nominale personale:</w:t>
            </w: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b/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 xml:space="preserve">bijuterii </w:t>
            </w:r>
            <w:proofErr w:type="spellStart"/>
            <w:r w:rsidRPr="00F80A4F">
              <w:rPr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sz w:val="24"/>
                <w:szCs w:val="24"/>
                <w:lang w:val="ro-RO" w:eastAsia="ru-RU"/>
              </w:rPr>
              <w:t xml:space="preserve"> obiecte de uz casnic din aur, platină, paladiu, argint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6,00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4661" w:type="pct"/>
            <w:gridSpan w:val="3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>Efectuarea analizelor:</w:t>
            </w: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1)</w:t>
            </w:r>
          </w:p>
        </w:tc>
        <w:tc>
          <w:tcPr>
            <w:tcW w:w="4661" w:type="pct"/>
            <w:gridSpan w:val="3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aliajelor pentru bijuterii, proteze dentare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altor aliaje pentru determinarea conținutului aurului, argintului, platinei, paladiului:</w:t>
            </w:r>
          </w:p>
        </w:tc>
      </w:tr>
      <w:tr w:rsidR="00622B18" w:rsidRPr="00F80A4F" w:rsidTr="00BC1C6D">
        <w:tc>
          <w:tcPr>
            <w:tcW w:w="339" w:type="pct"/>
            <w:vMerge w:val="restar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 xml:space="preserve">spectrometria </w:t>
            </w:r>
            <w:proofErr w:type="spellStart"/>
            <w:r>
              <w:rPr>
                <w:sz w:val="24"/>
                <w:szCs w:val="24"/>
                <w:lang w:val="ro-RO" w:eastAsia="ru-RU"/>
              </w:rPr>
              <w:t>rö</w:t>
            </w:r>
            <w:r w:rsidRPr="00F80A4F">
              <w:rPr>
                <w:sz w:val="24"/>
                <w:szCs w:val="24"/>
                <w:lang w:val="ro-RO" w:eastAsia="ru-RU"/>
              </w:rPr>
              <w:t>ntgeno</w:t>
            </w:r>
            <w:proofErr w:type="spellEnd"/>
            <w:r w:rsidRPr="00F80A4F">
              <w:rPr>
                <w:sz w:val="24"/>
                <w:szCs w:val="24"/>
                <w:lang w:val="ro-RO" w:eastAsia="ru-RU"/>
              </w:rPr>
              <w:t>-fluorescentă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analiză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259,20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prin metoda cu muflă (cupela</w:t>
            </w:r>
            <w:r>
              <w:rPr>
                <w:sz w:val="24"/>
                <w:szCs w:val="24"/>
                <w:lang w:val="ro-RO" w:eastAsia="ru-RU"/>
              </w:rPr>
              <w:t>ți</w:t>
            </w:r>
            <w:r w:rsidRPr="00F80A4F">
              <w:rPr>
                <w:sz w:val="24"/>
                <w:szCs w:val="24"/>
                <w:lang w:val="ro-RO" w:eastAsia="ru-RU"/>
              </w:rPr>
              <w:t>e)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analiză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528,00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 xml:space="preserve">prin metoda </w:t>
            </w:r>
            <w:proofErr w:type="spellStart"/>
            <w:r w:rsidRPr="00F80A4F">
              <w:rPr>
                <w:sz w:val="24"/>
                <w:szCs w:val="24"/>
                <w:lang w:val="ro-RO" w:eastAsia="ru-RU"/>
              </w:rPr>
              <w:t>potentiometrică</w:t>
            </w:r>
            <w:proofErr w:type="spellEnd"/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analiză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144,00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 xml:space="preserve">prin metoda </w:t>
            </w:r>
            <w:proofErr w:type="spellStart"/>
            <w:r w:rsidRPr="00F80A4F">
              <w:rPr>
                <w:sz w:val="24"/>
                <w:szCs w:val="24"/>
                <w:lang w:val="ro-RO" w:eastAsia="ru-RU"/>
              </w:rPr>
              <w:t>fizico</w:t>
            </w:r>
            <w:proofErr w:type="spellEnd"/>
            <w:r w:rsidRPr="00F80A4F">
              <w:rPr>
                <w:sz w:val="24"/>
                <w:szCs w:val="24"/>
                <w:lang w:val="ro-RO" w:eastAsia="ru-RU"/>
              </w:rPr>
              <w:t>-chimică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element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259,20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2)</w:t>
            </w:r>
          </w:p>
        </w:tc>
        <w:tc>
          <w:tcPr>
            <w:tcW w:w="4661" w:type="pct"/>
            <w:gridSpan w:val="3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pentru determinarea conținutului în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electroliţi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soluţii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:</w:t>
            </w: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</w:tr>
      <w:tr w:rsidR="00622B18" w:rsidRPr="00F80A4F" w:rsidTr="00BC1C6D">
        <w:tc>
          <w:tcPr>
            <w:tcW w:w="339" w:type="pct"/>
            <w:vMerge w:val="restar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aurului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analiză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216,00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argintului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analiză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216,00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platinei, paladiului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analiză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288,00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3)</w:t>
            </w: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acoperirilor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şlamurilor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electrolitice pentru determinarea conținutului aurului, argintului, platinei, paladiului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element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259,20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4)</w:t>
            </w: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diferit</w:t>
            </w:r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or materiale fotosensibile pentru determinarea conținutului argintului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analiză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216,00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5)</w:t>
            </w: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şlifurilor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aşchiilor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de bijuterii pentru determinarea conținutului aurului, argintului, platinei, paladiului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element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259,20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6)</w:t>
            </w: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pentru determinarea conținutului argintului în apele de spălare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de scurgere ale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secţiilor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galvanice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 xml:space="preserve"> ale altor </w:t>
            </w:r>
            <w:proofErr w:type="spellStart"/>
            <w:r w:rsidRPr="00F80A4F">
              <w:rPr>
                <w:b/>
                <w:bCs/>
                <w:sz w:val="24"/>
                <w:szCs w:val="24"/>
                <w:lang w:val="ro-RO" w:eastAsia="ru-RU"/>
              </w:rPr>
              <w:t>secţii</w:t>
            </w:r>
            <w:proofErr w:type="spellEnd"/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analiză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216,00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4661" w:type="pct"/>
            <w:gridSpan w:val="3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>Prepararea reactivi</w:t>
            </w:r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>lor pentru probare:</w:t>
            </w: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</w:tr>
      <w:tr w:rsidR="00622B18" w:rsidRPr="00F80A4F" w:rsidTr="00BC1C6D">
        <w:tc>
          <w:tcPr>
            <w:tcW w:w="339" w:type="pct"/>
            <w:vMerge w:val="restar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lastRenderedPageBreak/>
              <w:t> </w:t>
            </w: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lastRenderedPageBreak/>
              <w:t>aur percloric (fără valoarea aurului)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mililitru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8,64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azotat de argint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mililitru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4,32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acizi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mililitru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2,88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sz w:val="24"/>
                <w:szCs w:val="24"/>
                <w:lang w:val="ro-RO" w:eastAsia="ru-RU"/>
              </w:rPr>
              <w:lastRenderedPageBreak/>
              <w:t>6.</w:t>
            </w:r>
          </w:p>
        </w:tc>
        <w:tc>
          <w:tcPr>
            <w:tcW w:w="4661" w:type="pct"/>
            <w:gridSpan w:val="3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>Înregistrarea semnelor nominale personale:</w:t>
            </w: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</w:tr>
      <w:tr w:rsidR="00622B18" w:rsidRPr="00F80A4F" w:rsidTr="00BC1C6D">
        <w:tc>
          <w:tcPr>
            <w:tcW w:w="339" w:type="pct"/>
            <w:vMerge w:val="restar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înregistrarea semnelor nominale personale noi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100,00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î</w:t>
            </w:r>
            <w:r w:rsidRPr="00F80A4F">
              <w:rPr>
                <w:sz w:val="24"/>
                <w:szCs w:val="24"/>
                <w:lang w:val="ro-RO" w:eastAsia="ru-RU"/>
              </w:rPr>
              <w:t>nregistrarea anuală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60,00</w:t>
            </w:r>
          </w:p>
        </w:tc>
      </w:tr>
      <w:tr w:rsidR="00622B18" w:rsidRPr="00F80A4F" w:rsidTr="00BC1C6D"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4661" w:type="pct"/>
            <w:gridSpan w:val="3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Diagnosticarea pietrelor </w:t>
            </w:r>
            <w:proofErr w:type="spellStart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>preţioase</w:t>
            </w:r>
            <w:proofErr w:type="spellEnd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>semipreţioase</w:t>
            </w:r>
            <w:proofErr w:type="spellEnd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>:</w:t>
            </w: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</w:tr>
      <w:tr w:rsidR="00622B18" w:rsidRPr="00F80A4F" w:rsidTr="00BC1C6D">
        <w:tc>
          <w:tcPr>
            <w:tcW w:w="339" w:type="pct"/>
            <w:vMerge w:val="restar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 xml:space="preserve">stabilirea tipului pietrelor </w:t>
            </w:r>
            <w:proofErr w:type="spellStart"/>
            <w:r w:rsidRPr="00F80A4F">
              <w:rPr>
                <w:sz w:val="24"/>
                <w:szCs w:val="24"/>
                <w:lang w:val="ro-RO" w:eastAsia="ru-RU"/>
              </w:rPr>
              <w:t>preţioase</w:t>
            </w:r>
            <w:proofErr w:type="spellEnd"/>
            <w:r w:rsidRPr="00F80A4F">
              <w:rPr>
                <w:sz w:val="24"/>
                <w:szCs w:val="24"/>
                <w:lang w:val="ro-RO" w:eastAsia="ru-RU"/>
              </w:rPr>
              <w:t xml:space="preserve"> (briliante)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14,40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diagnosticarea completă a pietrelor </w:t>
            </w:r>
            <w:proofErr w:type="spellStart"/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preţioase</w:t>
            </w:r>
            <w:proofErr w:type="spellEnd"/>
          </w:p>
          <w:p w:rsidR="00622B18" w:rsidRPr="00F80A4F" w:rsidRDefault="00622B18" w:rsidP="00BC1C6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(briliante</w:t>
            </w: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) cu masa de </w:t>
            </w:r>
            <w:proofErr w:type="spellStart"/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pînă</w:t>
            </w:r>
            <w:proofErr w:type="spellEnd"/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la 0,10 carate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43,20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diagnosticarea completă a pietrelor </w:t>
            </w:r>
            <w:proofErr w:type="spellStart"/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preţioase</w:t>
            </w:r>
            <w:proofErr w:type="spellEnd"/>
          </w:p>
          <w:p w:rsidR="00622B18" w:rsidRPr="00F80A4F" w:rsidRDefault="00622B18" w:rsidP="00BC1C6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(briliante) cu masa de la 0,10 la 0,49 carate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72,00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diagnosticarea completă a pietrelor </w:t>
            </w:r>
            <w:proofErr w:type="spellStart"/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preţioase</w:t>
            </w:r>
            <w:proofErr w:type="spellEnd"/>
          </w:p>
          <w:p w:rsidR="00622B18" w:rsidRPr="00F80A4F" w:rsidRDefault="00622B18" w:rsidP="00BC1C6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(briliante) cu masa de la 0,50 la 0,99 carate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180,00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diagnosticarea completă a pietrelor </w:t>
            </w:r>
            <w:proofErr w:type="spellStart"/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preţioase</w:t>
            </w:r>
            <w:proofErr w:type="spellEnd"/>
          </w:p>
          <w:p w:rsidR="00622B18" w:rsidRPr="00F80A4F" w:rsidRDefault="00622B18" w:rsidP="00BC1C6D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(briliante</w:t>
            </w:r>
            <w:r w:rsidRPr="00F80A4F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) cu masa de la 1,00 carat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e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carat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360,00</w:t>
            </w:r>
          </w:p>
        </w:tc>
      </w:tr>
      <w:tr w:rsidR="00622B18" w:rsidRPr="00F80A4F" w:rsidTr="00BC1C6D">
        <w:tc>
          <w:tcPr>
            <w:tcW w:w="339" w:type="pct"/>
            <w:vMerge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 xml:space="preserve">diagnosticarea pietrelor </w:t>
            </w:r>
            <w:proofErr w:type="spellStart"/>
            <w:r w:rsidRPr="00F80A4F">
              <w:rPr>
                <w:sz w:val="24"/>
                <w:szCs w:val="24"/>
                <w:lang w:val="ro-RO" w:eastAsia="ru-RU"/>
              </w:rPr>
              <w:t>preţioase</w:t>
            </w:r>
            <w:proofErr w:type="spellEnd"/>
            <w:r w:rsidRPr="00F80A4F">
              <w:rPr>
                <w:sz w:val="24"/>
                <w:szCs w:val="24"/>
                <w:lang w:val="ro-RO" w:eastAsia="ru-RU"/>
              </w:rPr>
              <w:t xml:space="preserve"> colorate </w:t>
            </w:r>
            <w:proofErr w:type="spellStart"/>
            <w:r w:rsidRPr="00F80A4F">
              <w:rPr>
                <w:sz w:val="24"/>
                <w:szCs w:val="24"/>
                <w:lang w:val="ro-RO" w:eastAsia="ru-RU"/>
              </w:rPr>
              <w:t>şi</w:t>
            </w:r>
            <w:proofErr w:type="spellEnd"/>
            <w:r w:rsidRPr="00F80A4F">
              <w:rPr>
                <w:sz w:val="24"/>
                <w:szCs w:val="24"/>
                <w:lang w:val="ro-RO" w:eastAsia="ru-RU"/>
              </w:rPr>
              <w:t>  giuvaiere</w:t>
            </w:r>
            <w:r>
              <w:rPr>
                <w:sz w:val="24"/>
                <w:szCs w:val="24"/>
                <w:lang w:val="ro-RO" w:eastAsia="ru-RU"/>
              </w:rPr>
              <w:t>lor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o unitate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72,00</w:t>
            </w:r>
          </w:p>
        </w:tc>
      </w:tr>
      <w:tr w:rsidR="00622B18" w:rsidRPr="00F80A4F" w:rsidTr="00BC1C6D">
        <w:trPr>
          <w:trHeight w:val="643"/>
        </w:trPr>
        <w:tc>
          <w:tcPr>
            <w:tcW w:w="339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2732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Păstrarea valorilor </w:t>
            </w:r>
            <w:proofErr w:type="spellStart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>recepţionate</w:t>
            </w:r>
            <w:proofErr w:type="spellEnd"/>
            <w:r w:rsidRPr="00F80A4F">
              <w:rPr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pentru expertiză peste termenul stabilit, pentru o zi</w:t>
            </w:r>
          </w:p>
        </w:tc>
        <w:tc>
          <w:tcPr>
            <w:tcW w:w="714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un gram</w:t>
            </w:r>
          </w:p>
        </w:tc>
        <w:tc>
          <w:tcPr>
            <w:tcW w:w="1215" w:type="pct"/>
          </w:tcPr>
          <w:p w:rsidR="00622B18" w:rsidRPr="00F80A4F" w:rsidRDefault="00622B18" w:rsidP="00BC1C6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F80A4F">
              <w:rPr>
                <w:sz w:val="24"/>
                <w:szCs w:val="24"/>
                <w:lang w:val="ro-RO" w:eastAsia="ru-RU"/>
              </w:rPr>
              <w:t>  0,43</w:t>
            </w:r>
          </w:p>
        </w:tc>
      </w:tr>
    </w:tbl>
    <w:p w:rsidR="00622B18" w:rsidRDefault="00622B18" w:rsidP="00622B18">
      <w:pPr>
        <w:tabs>
          <w:tab w:val="left" w:pos="1134"/>
        </w:tabs>
        <w:ind w:firstLine="709"/>
        <w:rPr>
          <w:rFonts w:asciiTheme="majorBidi" w:hAnsiTheme="majorBidi" w:cstheme="majorBidi"/>
          <w:sz w:val="24"/>
          <w:szCs w:val="28"/>
          <w:lang w:val="ro-RO" w:eastAsia="ru-RU"/>
        </w:rPr>
      </w:pPr>
    </w:p>
    <w:p w:rsidR="00622B18" w:rsidRPr="00AE0E66" w:rsidRDefault="00622B18" w:rsidP="00622B18">
      <w:pPr>
        <w:tabs>
          <w:tab w:val="left" w:pos="1134"/>
        </w:tabs>
        <w:ind w:firstLine="709"/>
        <w:rPr>
          <w:rFonts w:asciiTheme="majorBidi" w:hAnsiTheme="majorBidi" w:cstheme="majorBidi"/>
          <w:b/>
          <w:sz w:val="24"/>
          <w:szCs w:val="28"/>
          <w:lang w:val="ro-RO" w:eastAsia="ru-RU"/>
        </w:rPr>
      </w:pPr>
      <w:r>
        <w:rPr>
          <w:rFonts w:asciiTheme="majorBidi" w:hAnsiTheme="majorBidi" w:cstheme="majorBidi"/>
          <w:b/>
          <w:sz w:val="24"/>
          <w:szCs w:val="28"/>
          <w:lang w:val="ro-RO" w:eastAsia="ru-RU"/>
        </w:rPr>
        <w:t>Note</w:t>
      </w:r>
    </w:p>
    <w:p w:rsidR="00622B18" w:rsidRPr="00F80A4F" w:rsidRDefault="00622B18" w:rsidP="00622B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</w:pPr>
      <w:r w:rsidRPr="00F80A4F">
        <w:rPr>
          <w:rFonts w:ascii="Times New Roman" w:eastAsia="Times New Roman" w:hAnsi="Times New Roman" w:cs="Times New Roman"/>
          <w:b/>
          <w:sz w:val="24"/>
          <w:szCs w:val="21"/>
          <w:lang w:val="ro-RO" w:eastAsia="ru-RU"/>
        </w:rPr>
        <w:t>1.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În cazul în care articolele (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cuţite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, ochelari, oglinzi, canturi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şi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alte articole similare)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conţin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atît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metale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preţioase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,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cît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şi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metale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nepreţioase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şi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alte materiale, plata pentru marcare se calculează pornind de la masa metalelor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preţioase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, care se determină cu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aproximaţie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în comun cu beneficiarul sau conform documentelor de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însoţire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.</w:t>
      </w:r>
    </w:p>
    <w:p w:rsidR="00622B18" w:rsidRPr="00F80A4F" w:rsidRDefault="00622B18" w:rsidP="00622B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</w:pPr>
      <w:r w:rsidRPr="00F80A4F">
        <w:rPr>
          <w:rFonts w:ascii="Times New Roman" w:eastAsia="Times New Roman" w:hAnsi="Times New Roman" w:cs="Times New Roman"/>
          <w:b/>
          <w:sz w:val="24"/>
          <w:szCs w:val="21"/>
          <w:lang w:val="ro-RO" w:eastAsia="ru-RU"/>
        </w:rPr>
        <w:t>2.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La marcarea articolelor prin metoda laser plata se majorează cu 20%. </w:t>
      </w:r>
    </w:p>
    <w:p w:rsidR="00622B18" w:rsidRPr="00F80A4F" w:rsidRDefault="00622B18" w:rsidP="00622B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</w:pPr>
      <w:r w:rsidRPr="00F80A4F">
        <w:rPr>
          <w:rFonts w:ascii="Times New Roman" w:eastAsia="Times New Roman" w:hAnsi="Times New Roman" w:cs="Times New Roman"/>
          <w:b/>
          <w:sz w:val="24"/>
          <w:szCs w:val="21"/>
          <w:lang w:val="ro-RO" w:eastAsia="ru-RU"/>
        </w:rPr>
        <w:t>3.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La aplicarea semnului nominal personal, a logotipului producătorului plata se majorează cu 20%. </w:t>
      </w:r>
    </w:p>
    <w:p w:rsidR="00622B18" w:rsidRPr="00F80A4F" w:rsidRDefault="00622B18" w:rsidP="00622B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</w:pPr>
      <w:r w:rsidRPr="00F80A4F">
        <w:rPr>
          <w:rFonts w:ascii="Times New Roman" w:eastAsia="Times New Roman" w:hAnsi="Times New Roman" w:cs="Times New Roman"/>
          <w:b/>
          <w:sz w:val="24"/>
          <w:szCs w:val="21"/>
          <w:lang w:val="ro-RO" w:eastAsia="ru-RU"/>
        </w:rPr>
        <w:t>4.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Pentru probarea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şi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marcarea articolelor cu inserări fixate, plata se majorează cu 20%.</w:t>
      </w:r>
    </w:p>
    <w:p w:rsidR="00622B18" w:rsidRPr="00F80A4F" w:rsidRDefault="00622B18" w:rsidP="00622B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</w:pPr>
      <w:r w:rsidRPr="00F80A4F">
        <w:rPr>
          <w:rFonts w:ascii="Times New Roman" w:eastAsia="Times New Roman" w:hAnsi="Times New Roman" w:cs="Times New Roman"/>
          <w:b/>
          <w:sz w:val="24"/>
          <w:szCs w:val="21"/>
          <w:lang w:val="ro-RO" w:eastAsia="ru-RU"/>
        </w:rPr>
        <w:t>5.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La prezentarea articolelor pentru probare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şi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marcare în ambalaj individual, cu etichete plumbuite sau similar acestora, plata se majorează cu 20%.</w:t>
      </w:r>
    </w:p>
    <w:p w:rsidR="00622B18" w:rsidRPr="00F80A4F" w:rsidRDefault="00622B18" w:rsidP="00622B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</w:pPr>
      <w:r w:rsidRPr="00F80A4F">
        <w:rPr>
          <w:rFonts w:ascii="Times New Roman" w:eastAsia="Times New Roman" w:hAnsi="Times New Roman" w:cs="Times New Roman"/>
          <w:b/>
          <w:sz w:val="24"/>
          <w:szCs w:val="21"/>
          <w:lang w:val="ro-RO" w:eastAsia="ru-RU"/>
        </w:rPr>
        <w:t>6.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Pentru separarea articolelor pe grupe omogene (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lanţuri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,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brăţ</w:t>
      </w:r>
      <w:r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ări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, cercei/cercei cu pietre, inele/inele cu pietre, pandantive/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pandantive cu pietre etc.), sortarea  pe tipuri de </w:t>
      </w:r>
      <w:r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marcare, plata se majorează cu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10%.</w:t>
      </w:r>
    </w:p>
    <w:p w:rsidR="00622B18" w:rsidRPr="00F80A4F" w:rsidRDefault="00622B18" w:rsidP="00622B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</w:pPr>
      <w:r w:rsidRPr="00F80A4F">
        <w:rPr>
          <w:rFonts w:ascii="Times New Roman" w:eastAsia="Times New Roman" w:hAnsi="Times New Roman" w:cs="Times New Roman"/>
          <w:b/>
          <w:sz w:val="24"/>
          <w:szCs w:val="21"/>
          <w:lang w:val="ro-RO" w:eastAsia="ru-RU"/>
        </w:rPr>
        <w:t>7.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La probarea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şi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marcarea articolelor cu detalii din diferite aliaje din aur, argint, platină sau paladiu, plata se încasează în mărime dublă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faţă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de plata stabilită pentru metalul pe care se aplică marcajul de bază.</w:t>
      </w:r>
    </w:p>
    <w:p w:rsidR="00622B18" w:rsidRPr="00F80A4F" w:rsidRDefault="00622B18" w:rsidP="00622B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</w:pPr>
      <w:r w:rsidRPr="00F80A4F">
        <w:rPr>
          <w:rFonts w:ascii="Times New Roman" w:eastAsia="Times New Roman" w:hAnsi="Times New Roman" w:cs="Times New Roman"/>
          <w:b/>
          <w:sz w:val="24"/>
          <w:szCs w:val="21"/>
          <w:lang w:val="ro-RO" w:eastAsia="ru-RU"/>
        </w:rPr>
        <w:t>8.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Toate serviciile se prestează în termen de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pînă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la 10 zile lucrătoare. În cazul prezentării pentru probare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şi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marcare a unui lot de articole cu</w:t>
      </w:r>
      <w:r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greutatea totală mai mare de 2 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kg, serviciile se prestează în termen de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pînă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la 20 de zile lucrătoare.</w:t>
      </w:r>
    </w:p>
    <w:p w:rsidR="00622B18" w:rsidRPr="00F80A4F" w:rsidRDefault="00622B18" w:rsidP="00622B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</w:pPr>
      <w:r w:rsidRPr="00F80A4F">
        <w:rPr>
          <w:rFonts w:ascii="Times New Roman" w:eastAsia="Times New Roman" w:hAnsi="Times New Roman" w:cs="Times New Roman"/>
          <w:b/>
          <w:sz w:val="24"/>
          <w:szCs w:val="21"/>
          <w:lang w:val="ro-RO" w:eastAsia="ru-RU"/>
        </w:rPr>
        <w:t>9.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Pentru prestarea serviciilor în regim de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urgenţă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, plata se majorează:</w:t>
      </w:r>
    </w:p>
    <w:p w:rsidR="00622B18" w:rsidRPr="00F80A4F" w:rsidRDefault="00622B18" w:rsidP="00622B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1) 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pentru executarea lucrărilor </w:t>
      </w:r>
      <w:r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în termen de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î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nă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la 4 ore – cu 150%;</w:t>
      </w:r>
    </w:p>
    <w:p w:rsidR="00622B18" w:rsidRDefault="00622B18" w:rsidP="00622B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2) 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pentru executarea lucrărilor în 24 de ore – cu 100%;</w:t>
      </w:r>
    </w:p>
    <w:p w:rsidR="00622B18" w:rsidRPr="00F80A4F" w:rsidRDefault="00622B18" w:rsidP="00622B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3) 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pentru executarea lucrărilor în 48 de ore – cu 50%.</w:t>
      </w:r>
    </w:p>
    <w:p w:rsidR="00622B18" w:rsidRPr="00F80A4F" w:rsidRDefault="00622B18" w:rsidP="00622B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</w:pPr>
      <w:r w:rsidRPr="00F80A4F">
        <w:rPr>
          <w:rFonts w:ascii="Times New Roman" w:eastAsia="Times New Roman" w:hAnsi="Times New Roman" w:cs="Times New Roman"/>
          <w:b/>
          <w:sz w:val="24"/>
          <w:szCs w:val="21"/>
          <w:lang w:val="ro-RO" w:eastAsia="ru-RU"/>
        </w:rPr>
        <w:t>10.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Toate evaluările paralele se consideră o singură analiză.</w:t>
      </w:r>
    </w:p>
    <w:p w:rsidR="00622B18" w:rsidRPr="00F80A4F" w:rsidRDefault="00622B18" w:rsidP="00622B1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</w:pPr>
      <w:r w:rsidRPr="00F80A4F">
        <w:rPr>
          <w:rFonts w:ascii="Times New Roman" w:eastAsia="Times New Roman" w:hAnsi="Times New Roman" w:cs="Times New Roman"/>
          <w:b/>
          <w:sz w:val="24"/>
          <w:szCs w:val="21"/>
          <w:lang w:val="ro-RO" w:eastAsia="ru-RU"/>
        </w:rPr>
        <w:t>11.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Pentru efectuarea analizelor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şi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prestarea serviciilor neprevăzute în prezenta listă, taxa se </w:t>
      </w:r>
      <w:proofErr w:type="spellStart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stabileşte</w:t>
      </w:r>
      <w:proofErr w:type="spellEnd"/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 în comun cu beneficiarul, conform Metodologiei prevăzute în </w:t>
      </w:r>
      <w:r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a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 xml:space="preserve">nexa </w:t>
      </w:r>
      <w:r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nr. </w:t>
      </w:r>
      <w:r w:rsidRPr="00F80A4F">
        <w:rPr>
          <w:rFonts w:ascii="Times New Roman" w:eastAsia="Times New Roman" w:hAnsi="Times New Roman" w:cs="Times New Roman"/>
          <w:sz w:val="24"/>
          <w:szCs w:val="21"/>
          <w:lang w:val="ro-RO" w:eastAsia="ru-RU"/>
        </w:rPr>
        <w:t>3.</w:t>
      </w:r>
    </w:p>
    <w:p w:rsidR="00622B18" w:rsidRPr="00F80A4F" w:rsidRDefault="00622B18" w:rsidP="00622B18">
      <w:pPr>
        <w:tabs>
          <w:tab w:val="left" w:pos="1134"/>
        </w:tabs>
        <w:ind w:firstLine="709"/>
        <w:rPr>
          <w:sz w:val="24"/>
          <w:szCs w:val="21"/>
          <w:lang w:val="ro-RO" w:eastAsia="ru-RU"/>
        </w:rPr>
      </w:pPr>
      <w:r w:rsidRPr="00F80A4F">
        <w:rPr>
          <w:b/>
          <w:sz w:val="24"/>
          <w:szCs w:val="21"/>
          <w:lang w:val="ro-RO" w:eastAsia="ru-RU"/>
        </w:rPr>
        <w:t>12.</w:t>
      </w:r>
      <w:r w:rsidRPr="00F80A4F">
        <w:rPr>
          <w:sz w:val="24"/>
          <w:szCs w:val="21"/>
          <w:lang w:val="ro-RO" w:eastAsia="ru-RU"/>
        </w:rPr>
        <w:t xml:space="preserve"> În cazul în care producătorul prezintă pentru probare </w:t>
      </w:r>
      <w:proofErr w:type="spellStart"/>
      <w:r w:rsidRPr="00F80A4F">
        <w:rPr>
          <w:sz w:val="24"/>
          <w:szCs w:val="21"/>
          <w:lang w:val="ro-RO" w:eastAsia="ru-RU"/>
        </w:rPr>
        <w:t>şi</w:t>
      </w:r>
      <w:proofErr w:type="spellEnd"/>
      <w:r w:rsidRPr="00F80A4F">
        <w:rPr>
          <w:sz w:val="24"/>
          <w:szCs w:val="21"/>
          <w:lang w:val="ro-RO" w:eastAsia="ru-RU"/>
        </w:rPr>
        <w:t xml:space="preserve"> marcare articole din metale </w:t>
      </w:r>
      <w:proofErr w:type="spellStart"/>
      <w:r w:rsidRPr="00F80A4F">
        <w:rPr>
          <w:sz w:val="24"/>
          <w:szCs w:val="21"/>
          <w:lang w:val="ro-RO" w:eastAsia="ru-RU"/>
        </w:rPr>
        <w:t>preţioase</w:t>
      </w:r>
      <w:proofErr w:type="spellEnd"/>
      <w:r w:rsidRPr="00F80A4F">
        <w:rPr>
          <w:sz w:val="24"/>
          <w:szCs w:val="21"/>
          <w:lang w:val="ro-RO" w:eastAsia="ru-RU"/>
        </w:rPr>
        <w:t xml:space="preserve"> ce nu corespund titlului declarat, structura organizațională responsabilă de supravegherea marcării de stat marchează articolele cu titlul corespunzător </w:t>
      </w:r>
      <w:proofErr w:type="spellStart"/>
      <w:r w:rsidRPr="00F80A4F">
        <w:rPr>
          <w:sz w:val="24"/>
          <w:szCs w:val="21"/>
          <w:lang w:val="ro-RO" w:eastAsia="ru-RU"/>
        </w:rPr>
        <w:t>şi</w:t>
      </w:r>
      <w:proofErr w:type="spellEnd"/>
      <w:r w:rsidRPr="00F80A4F">
        <w:rPr>
          <w:sz w:val="24"/>
          <w:szCs w:val="21"/>
          <w:lang w:val="ro-RO" w:eastAsia="ru-RU"/>
        </w:rPr>
        <w:t xml:space="preserve"> încasează plată dublă pentru serviciile prestate. Articolele care se situează sub limita titlului legal minim în vigoare nu </w:t>
      </w:r>
      <w:proofErr w:type="spellStart"/>
      <w:r w:rsidRPr="00F80A4F">
        <w:rPr>
          <w:sz w:val="24"/>
          <w:szCs w:val="21"/>
          <w:lang w:val="ro-RO" w:eastAsia="ru-RU"/>
        </w:rPr>
        <w:t>sînt</w:t>
      </w:r>
      <w:proofErr w:type="spellEnd"/>
      <w:r w:rsidRPr="00F80A4F">
        <w:rPr>
          <w:sz w:val="24"/>
          <w:szCs w:val="21"/>
          <w:lang w:val="ro-RO" w:eastAsia="ru-RU"/>
        </w:rPr>
        <w:t xml:space="preserve"> admise marcării de stat, iar plata pentru serviciile prestate nu se restituie.</w:t>
      </w:r>
    </w:p>
    <w:p w:rsidR="002F4100" w:rsidRPr="00622B18" w:rsidRDefault="002F4100" w:rsidP="00622B18">
      <w:pPr>
        <w:ind w:firstLine="0"/>
        <w:jc w:val="left"/>
        <w:rPr>
          <w:sz w:val="24"/>
          <w:szCs w:val="21"/>
          <w:lang w:val="ro-RO" w:eastAsia="ru-RU"/>
        </w:rPr>
      </w:pPr>
      <w:bookmarkStart w:id="0" w:name="_GoBack"/>
      <w:bookmarkEnd w:id="0"/>
    </w:p>
    <w:sectPr w:rsidR="002F4100" w:rsidRPr="00622B18" w:rsidSect="00622B18">
      <w:pgSz w:w="11906" w:h="16838" w:code="9"/>
      <w:pgMar w:top="720" w:right="851" w:bottom="993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18"/>
    <w:rsid w:val="000C7652"/>
    <w:rsid w:val="002F4100"/>
    <w:rsid w:val="0062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984D-A525-4A8E-81E8-66A2B16F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B18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622B18"/>
    <w:pPr>
      <w:ind w:firstLine="0"/>
      <w:jc w:val="center"/>
    </w:pPr>
    <w:rPr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622B1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22B18"/>
    <w:pPr>
      <w:spacing w:after="0" w:line="240" w:lineRule="auto"/>
    </w:pPr>
  </w:style>
  <w:style w:type="paragraph" w:customStyle="1" w:styleId="rg">
    <w:name w:val="rg"/>
    <w:basedOn w:val="a"/>
    <w:rsid w:val="00622B18"/>
    <w:pPr>
      <w:ind w:firstLine="0"/>
      <w:jc w:val="righ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Sorocinskaia</dc:creator>
  <cp:keywords/>
  <dc:description/>
  <cp:lastModifiedBy>Tatiana Sorocinskaia</cp:lastModifiedBy>
  <cp:revision>1</cp:revision>
  <dcterms:created xsi:type="dcterms:W3CDTF">2019-02-22T08:52:00Z</dcterms:created>
  <dcterms:modified xsi:type="dcterms:W3CDTF">2019-02-22T08:53:00Z</dcterms:modified>
</cp:coreProperties>
</file>