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D1" w:rsidRPr="006A4A3A" w:rsidRDefault="009C16D1" w:rsidP="009C16D1">
      <w:pPr>
        <w:pStyle w:val="NormalWeb"/>
        <w:ind w:left="3600" w:firstLine="0"/>
        <w:jc w:val="right"/>
        <w:rPr>
          <w:rFonts w:asciiTheme="majorBidi" w:hAnsiTheme="majorBidi" w:cstheme="majorBidi"/>
          <w:iCs/>
          <w:lang w:val="ro-RO"/>
        </w:rPr>
      </w:pPr>
      <w:r w:rsidRPr="006A4A3A">
        <w:rPr>
          <w:rFonts w:asciiTheme="majorBidi" w:hAnsiTheme="majorBidi" w:cstheme="majorBidi"/>
          <w:iCs/>
          <w:lang w:val="ro-RO"/>
        </w:rPr>
        <w:t>Anexa nr. 3</w:t>
      </w:r>
    </w:p>
    <w:p w:rsidR="009C16D1" w:rsidRPr="006A4A3A" w:rsidRDefault="009C16D1" w:rsidP="009C16D1">
      <w:pPr>
        <w:pStyle w:val="NormalWeb"/>
        <w:ind w:left="4003" w:firstLine="0"/>
        <w:jc w:val="right"/>
        <w:rPr>
          <w:rFonts w:asciiTheme="majorBidi" w:hAnsiTheme="majorBidi" w:cstheme="majorBidi"/>
          <w:bCs/>
          <w:lang w:val="ro-RO" w:eastAsia="en-US"/>
        </w:rPr>
      </w:pPr>
      <w:r w:rsidRPr="006A4A3A">
        <w:rPr>
          <w:rFonts w:asciiTheme="majorBidi" w:hAnsiTheme="majorBidi" w:cstheme="majorBidi"/>
          <w:iCs/>
          <w:lang w:val="ro-RO"/>
        </w:rPr>
        <w:t>la</w:t>
      </w:r>
      <w:r w:rsidRPr="006A4A3A">
        <w:rPr>
          <w:rFonts w:asciiTheme="majorBidi" w:hAnsiTheme="majorBidi" w:cstheme="majorBidi"/>
          <w:bCs/>
          <w:lang w:val="ro-RO" w:eastAsia="en-US"/>
        </w:rPr>
        <w:t xml:space="preserve">Regulamentul  cu privire la depozitarea </w:t>
      </w:r>
    </w:p>
    <w:p w:rsidR="009C16D1" w:rsidRPr="006A4A3A" w:rsidRDefault="009C16D1" w:rsidP="009C16D1">
      <w:pPr>
        <w:pStyle w:val="NormalWeb"/>
        <w:ind w:left="4003" w:firstLine="0"/>
        <w:jc w:val="right"/>
        <w:rPr>
          <w:rFonts w:asciiTheme="majorBidi" w:hAnsiTheme="majorBidi" w:cstheme="majorBidi"/>
          <w:lang w:val="ro-RO" w:eastAsia="en-US"/>
        </w:rPr>
      </w:pPr>
      <w:r w:rsidRPr="006A4A3A">
        <w:rPr>
          <w:rFonts w:asciiTheme="majorBidi" w:hAnsiTheme="majorBidi" w:cstheme="majorBidi"/>
          <w:bCs/>
          <w:lang w:val="ro-RO" w:eastAsia="en-US"/>
        </w:rPr>
        <w:t xml:space="preserve">și comercializarea cu ridicata, </w:t>
      </w:r>
      <w:r w:rsidRPr="006A4A3A">
        <w:rPr>
          <w:rFonts w:asciiTheme="majorBidi" w:hAnsiTheme="majorBidi" w:cstheme="majorBidi"/>
          <w:lang w:val="ro-RO" w:eastAsia="en-US"/>
        </w:rPr>
        <w:t>prin sistem automatizat, a produselor petroliere identificate</w:t>
      </w:r>
    </w:p>
    <w:p w:rsidR="009C16D1" w:rsidRPr="006A4A3A" w:rsidRDefault="009C16D1" w:rsidP="009C16D1">
      <w:pPr>
        <w:pStyle w:val="NormalWeb"/>
        <w:ind w:left="928" w:firstLine="0"/>
        <w:jc w:val="right"/>
        <w:rPr>
          <w:rFonts w:asciiTheme="majorBidi" w:hAnsiTheme="majorBidi" w:cstheme="majorBidi"/>
          <w:sz w:val="28"/>
          <w:szCs w:val="28"/>
          <w:lang w:val="ro-RO"/>
        </w:rPr>
      </w:pPr>
      <w:bookmarkStart w:id="0" w:name="_GoBack"/>
      <w:bookmarkEnd w:id="0"/>
    </w:p>
    <w:p w:rsidR="009C16D1" w:rsidRPr="006A4A3A" w:rsidRDefault="009C16D1" w:rsidP="009C16D1">
      <w:pPr>
        <w:pStyle w:val="NormalWeb"/>
        <w:ind w:left="928" w:firstLine="0"/>
        <w:jc w:val="right"/>
        <w:rPr>
          <w:rFonts w:asciiTheme="majorBidi" w:hAnsiTheme="majorBidi" w:cstheme="majorBidi"/>
          <w:sz w:val="28"/>
          <w:szCs w:val="28"/>
          <w:lang w:val="ro-RO"/>
        </w:rPr>
      </w:pPr>
    </w:p>
    <w:p w:rsidR="009C16D1" w:rsidRPr="006A4A3A" w:rsidRDefault="009C16D1" w:rsidP="009C16D1">
      <w:pPr>
        <w:pStyle w:val="NormalWeb"/>
        <w:ind w:left="928" w:firstLine="0"/>
        <w:jc w:val="right"/>
        <w:rPr>
          <w:rFonts w:asciiTheme="majorBidi" w:hAnsiTheme="majorBidi" w:cstheme="majorBidi"/>
          <w:b/>
          <w:bCs/>
          <w:sz w:val="28"/>
          <w:szCs w:val="28"/>
          <w:lang w:val="ro-RO"/>
        </w:rPr>
      </w:pPr>
      <w:r w:rsidRPr="006A4A3A">
        <w:rPr>
          <w:rFonts w:asciiTheme="majorBidi" w:hAnsiTheme="majorBidi" w:cstheme="majorBidi"/>
          <w:b/>
          <w:bCs/>
          <w:sz w:val="28"/>
          <w:szCs w:val="28"/>
          <w:lang w:val="ro-RO"/>
        </w:rPr>
        <w:t>Tabelul 1</w:t>
      </w:r>
    </w:p>
    <w:p w:rsidR="009C16D1" w:rsidRPr="006A4A3A" w:rsidRDefault="009C16D1" w:rsidP="009C16D1">
      <w:pPr>
        <w:ind w:firstLine="0"/>
        <w:jc w:val="center"/>
        <w:rPr>
          <w:rFonts w:asciiTheme="majorBidi" w:hAnsiTheme="majorBidi" w:cstheme="majorBidi"/>
          <w:b/>
          <w:bCs/>
          <w:color w:val="000000"/>
          <w:sz w:val="28"/>
          <w:szCs w:val="28"/>
          <w:lang w:val="ro-RO"/>
        </w:rPr>
      </w:pPr>
      <w:r w:rsidRPr="006A4A3A">
        <w:rPr>
          <w:rFonts w:asciiTheme="majorBidi" w:hAnsiTheme="majorBidi" w:cstheme="majorBidi"/>
          <w:b/>
          <w:bCs/>
          <w:color w:val="000000"/>
          <w:sz w:val="28"/>
          <w:szCs w:val="28"/>
          <w:lang w:val="ro-RO"/>
        </w:rPr>
        <w:t>Specificațiile tehnice pentru benzină</w:t>
      </w:r>
    </w:p>
    <w:p w:rsidR="009C16D1" w:rsidRPr="006A4A3A" w:rsidRDefault="009C16D1" w:rsidP="009C16D1">
      <w:pPr>
        <w:jc w:val="center"/>
        <w:rPr>
          <w:rFonts w:asciiTheme="majorBidi" w:hAnsiTheme="majorBidi" w:cstheme="majorBidi"/>
          <w:b/>
          <w:bCs/>
          <w:color w:val="000000"/>
          <w:sz w:val="28"/>
          <w:szCs w:val="28"/>
          <w:lang w:val="ro-RO"/>
        </w:rPr>
      </w:pPr>
    </w:p>
    <w:tbl>
      <w:tblPr>
        <w:tblW w:w="5000" w:type="pct"/>
        <w:tblCellMar>
          <w:top w:w="15" w:type="dxa"/>
          <w:left w:w="15" w:type="dxa"/>
          <w:bottom w:w="15" w:type="dxa"/>
          <w:right w:w="15" w:type="dxa"/>
        </w:tblCellMar>
        <w:tblLook w:val="04A0" w:firstRow="1" w:lastRow="0" w:firstColumn="1" w:lastColumn="0" w:noHBand="0" w:noVBand="1"/>
      </w:tblPr>
      <w:tblGrid>
        <w:gridCol w:w="26"/>
        <w:gridCol w:w="4456"/>
        <w:gridCol w:w="1432"/>
        <w:gridCol w:w="1474"/>
        <w:gridCol w:w="76"/>
        <w:gridCol w:w="2235"/>
      </w:tblGrid>
      <w:tr w:rsidR="009C16D1" w:rsidRPr="006A4A3A" w:rsidTr="00961315">
        <w:trPr>
          <w:trHeight w:val="234"/>
        </w:trPr>
        <w:tc>
          <w:tcPr>
            <w:tcW w:w="14" w:type="pct"/>
            <w:vMerge w:val="restar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vMerge w:val="restart"/>
            <w:tcBorders>
              <w:top w:val="single" w:sz="6" w:space="0" w:color="404040"/>
              <w:left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b/>
                <w:bCs/>
                <w:lang w:val="ro-RO"/>
              </w:rPr>
            </w:pPr>
            <w:r w:rsidRPr="006A4A3A">
              <w:rPr>
                <w:rFonts w:asciiTheme="majorBidi" w:hAnsiTheme="majorBidi" w:cstheme="majorBidi"/>
                <w:b/>
                <w:bCs/>
                <w:lang w:val="ro-RO"/>
              </w:rPr>
              <w:t>Parametrii</w:t>
            </w:r>
            <w:r w:rsidRPr="006A4A3A">
              <w:rPr>
                <w:rFonts w:asciiTheme="majorBidi" w:hAnsiTheme="majorBidi" w:cstheme="majorBidi"/>
                <w:b/>
                <w:bCs/>
                <w:vertAlign w:val="superscript"/>
                <w:lang w:val="ro-RO"/>
              </w:rPr>
              <w:t>1</w:t>
            </w:r>
          </w:p>
        </w:tc>
        <w:tc>
          <w:tcPr>
            <w:tcW w:w="738" w:type="pct"/>
            <w:vMerge w:val="restart"/>
            <w:tcBorders>
              <w:top w:val="single" w:sz="6" w:space="0" w:color="404040"/>
              <w:left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b/>
                <w:bCs/>
                <w:lang w:val="ro-RO"/>
              </w:rPr>
            </w:pPr>
            <w:r w:rsidRPr="006A4A3A">
              <w:rPr>
                <w:rFonts w:asciiTheme="majorBidi" w:hAnsiTheme="majorBidi" w:cstheme="majorBidi"/>
                <w:b/>
                <w:bCs/>
                <w:lang w:val="ro-RO"/>
              </w:rPr>
              <w:t>Unitatea</w:t>
            </w:r>
          </w:p>
        </w:tc>
        <w:tc>
          <w:tcPr>
            <w:tcW w:w="1952" w:type="pct"/>
            <w:gridSpan w:val="3"/>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center"/>
              <w:rPr>
                <w:rFonts w:asciiTheme="majorBidi" w:hAnsiTheme="majorBidi" w:cstheme="majorBidi"/>
                <w:b/>
                <w:bCs/>
                <w:vertAlign w:val="superscript"/>
                <w:lang w:val="ro-RO"/>
              </w:rPr>
            </w:pPr>
            <w:r w:rsidRPr="006A4A3A">
              <w:rPr>
                <w:rFonts w:asciiTheme="majorBidi" w:hAnsiTheme="majorBidi" w:cstheme="majorBidi"/>
                <w:b/>
                <w:bCs/>
                <w:lang w:val="ro-RO"/>
              </w:rPr>
              <w:t>Limitele</w:t>
            </w:r>
            <w:r w:rsidRPr="006A4A3A">
              <w:rPr>
                <w:rFonts w:asciiTheme="majorBidi" w:hAnsiTheme="majorBidi" w:cstheme="majorBidi"/>
                <w:b/>
                <w:bCs/>
                <w:vertAlign w:val="superscript"/>
                <w:lang w:val="ro-RO"/>
              </w:rPr>
              <w:t>2</w:t>
            </w:r>
          </w:p>
        </w:tc>
      </w:tr>
      <w:tr w:rsidR="009C16D1" w:rsidRPr="006A4A3A" w:rsidTr="00961315">
        <w:trPr>
          <w:trHeight w:val="234"/>
        </w:trPr>
        <w:tc>
          <w:tcPr>
            <w:tcW w:w="14" w:type="pct"/>
            <w:vMerge/>
            <w:tcMar>
              <w:top w:w="0" w:type="dxa"/>
              <w:left w:w="0" w:type="dxa"/>
              <w:bottom w:w="0" w:type="dxa"/>
              <w:right w:w="0" w:type="dxa"/>
            </w:tcMar>
            <w:vAlign w:val="center"/>
          </w:tcPr>
          <w:p w:rsidR="009C16D1" w:rsidRPr="006A4A3A" w:rsidRDefault="009C16D1" w:rsidP="00961315">
            <w:pPr>
              <w:keepNext/>
              <w:keepLines/>
              <w:ind w:firstLine="0"/>
              <w:outlineLvl w:val="0"/>
              <w:rPr>
                <w:rFonts w:asciiTheme="majorBidi" w:hAnsiTheme="majorBidi" w:cstheme="majorBidi"/>
                <w:lang w:val="ro-RO"/>
              </w:rPr>
            </w:pPr>
          </w:p>
        </w:tc>
        <w:tc>
          <w:tcPr>
            <w:tcW w:w="2297" w:type="pct"/>
            <w:vMerge/>
            <w:tcBorders>
              <w:left w:val="single" w:sz="6" w:space="0" w:color="404040"/>
              <w:bottom w:val="single" w:sz="6" w:space="0" w:color="404040"/>
              <w:right w:val="single" w:sz="6" w:space="0" w:color="404040"/>
            </w:tcBorders>
            <w:tcMar>
              <w:top w:w="0" w:type="dxa"/>
              <w:left w:w="0" w:type="dxa"/>
              <w:bottom w:w="0" w:type="dxa"/>
              <w:right w:w="0" w:type="dxa"/>
            </w:tcMar>
            <w:vAlign w:val="center"/>
          </w:tcPr>
          <w:p w:rsidR="009C16D1" w:rsidRPr="006A4A3A" w:rsidRDefault="009C16D1" w:rsidP="00961315">
            <w:pPr>
              <w:keepNext/>
              <w:keepLines/>
              <w:ind w:firstLine="0"/>
              <w:outlineLvl w:val="0"/>
              <w:rPr>
                <w:rFonts w:asciiTheme="majorBidi" w:hAnsiTheme="majorBidi" w:cstheme="majorBidi"/>
                <w:b/>
                <w:bCs/>
                <w:lang w:val="ro-RO"/>
              </w:rPr>
            </w:pPr>
          </w:p>
        </w:tc>
        <w:tc>
          <w:tcPr>
            <w:tcW w:w="738" w:type="pct"/>
            <w:vMerge/>
            <w:tcBorders>
              <w:left w:val="single" w:sz="6" w:space="0" w:color="404040"/>
              <w:bottom w:val="single" w:sz="6" w:space="0" w:color="404040"/>
              <w:right w:val="single" w:sz="6" w:space="0" w:color="404040"/>
            </w:tcBorders>
            <w:tcMar>
              <w:top w:w="0" w:type="dxa"/>
              <w:left w:w="0" w:type="dxa"/>
              <w:bottom w:w="0" w:type="dxa"/>
              <w:right w:w="0" w:type="dxa"/>
            </w:tcMar>
            <w:vAlign w:val="center"/>
          </w:tcPr>
          <w:p w:rsidR="009C16D1" w:rsidRPr="006A4A3A" w:rsidRDefault="009C16D1" w:rsidP="00961315">
            <w:pPr>
              <w:keepNext/>
              <w:keepLines/>
              <w:ind w:firstLine="0"/>
              <w:outlineLvl w:val="0"/>
              <w:rPr>
                <w:rFonts w:asciiTheme="majorBidi" w:hAnsiTheme="majorBidi" w:cstheme="majorBidi"/>
                <w:b/>
                <w:bCs/>
                <w:lang w:val="ro-RO"/>
              </w:rPr>
            </w:pPr>
          </w:p>
        </w:tc>
        <w:tc>
          <w:tcPr>
            <w:tcW w:w="76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tcPr>
          <w:p w:rsidR="009C16D1" w:rsidRPr="006A4A3A" w:rsidRDefault="009C16D1" w:rsidP="00961315">
            <w:pPr>
              <w:ind w:firstLine="0"/>
              <w:jc w:val="center"/>
              <w:rPr>
                <w:rFonts w:asciiTheme="majorBidi" w:hAnsiTheme="majorBidi" w:cstheme="majorBidi"/>
                <w:b/>
                <w:bCs/>
                <w:lang w:val="ro-RO"/>
              </w:rPr>
            </w:pPr>
            <w:r w:rsidRPr="006A4A3A">
              <w:rPr>
                <w:rFonts w:asciiTheme="majorBidi" w:hAnsiTheme="majorBidi" w:cstheme="majorBidi"/>
                <w:b/>
                <w:bCs/>
                <w:lang w:val="ro-RO"/>
              </w:rPr>
              <w:t>minime</w:t>
            </w:r>
          </w:p>
        </w:tc>
        <w:tc>
          <w:tcPr>
            <w:tcW w:w="1192" w:type="pct"/>
            <w:gridSpan w:val="2"/>
            <w:tcBorders>
              <w:top w:val="single" w:sz="6" w:space="0" w:color="404040"/>
              <w:left w:val="single" w:sz="6" w:space="0" w:color="404040"/>
              <w:bottom w:val="single" w:sz="6" w:space="0" w:color="404040"/>
              <w:right w:val="single" w:sz="6" w:space="0" w:color="404040"/>
            </w:tcBorders>
            <w:vAlign w:val="center"/>
          </w:tcPr>
          <w:p w:rsidR="009C16D1" w:rsidRPr="006A4A3A" w:rsidRDefault="009C16D1" w:rsidP="00961315">
            <w:pPr>
              <w:ind w:firstLine="0"/>
              <w:jc w:val="center"/>
              <w:rPr>
                <w:rFonts w:asciiTheme="majorBidi" w:hAnsiTheme="majorBidi" w:cstheme="majorBidi"/>
                <w:b/>
                <w:bCs/>
                <w:lang w:val="ro-RO"/>
              </w:rPr>
            </w:pPr>
            <w:r w:rsidRPr="006A4A3A">
              <w:rPr>
                <w:rFonts w:asciiTheme="majorBidi" w:hAnsiTheme="majorBidi" w:cstheme="majorBidi"/>
                <w:b/>
                <w:bCs/>
                <w:lang w:val="ro-RO"/>
              </w:rPr>
              <w:t>maxime</w:t>
            </w:r>
          </w:p>
        </w:tc>
      </w:tr>
      <w:tr w:rsidR="009C16D1" w:rsidRPr="006A4A3A" w:rsidTr="00961315">
        <w:trPr>
          <w:trHeight w:val="34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Cifra octanică „research”</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95</w:t>
            </w:r>
            <w:r w:rsidRPr="006A4A3A">
              <w:rPr>
                <w:rFonts w:asciiTheme="majorBidi" w:hAnsiTheme="majorBidi" w:cstheme="majorBidi"/>
                <w:vertAlign w:val="superscript"/>
                <w:lang w:val="ro-RO"/>
              </w:rPr>
              <w:t>3</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r>
      <w:tr w:rsidR="009C16D1" w:rsidRPr="006A4A3A" w:rsidTr="00961315">
        <w:trPr>
          <w:trHeight w:val="34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Cifra octanică „motor”</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85</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r>
      <w:tr w:rsidR="009C16D1" w:rsidRPr="006A4A3A" w:rsidTr="00961315">
        <w:trPr>
          <w:trHeight w:val="34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 xml:space="preserve">Presiunea vaporilor  în perioada de vară </w:t>
            </w:r>
            <w:r w:rsidRPr="006A4A3A">
              <w:rPr>
                <w:rFonts w:asciiTheme="majorBidi" w:hAnsiTheme="majorBidi" w:cstheme="majorBidi"/>
                <w:vertAlign w:val="superscript"/>
                <w:lang w:val="ro-RO"/>
              </w:rPr>
              <w:t>4</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kPa</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60,0</w:t>
            </w:r>
          </w:p>
        </w:tc>
      </w:tr>
      <w:tr w:rsidR="009C16D1" w:rsidRPr="006A4A3A" w:rsidTr="00961315">
        <w:trPr>
          <w:trHeight w:val="76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Distilare: </w:t>
            </w:r>
            <w:r w:rsidRPr="006A4A3A">
              <w:rPr>
                <w:rFonts w:asciiTheme="majorBidi" w:hAnsiTheme="majorBidi" w:cstheme="majorBidi"/>
                <w:lang w:val="ro-RO"/>
              </w:rPr>
              <w:br/>
              <w:t>- evaporat la 100°C</w:t>
            </w:r>
            <w:r w:rsidRPr="006A4A3A">
              <w:rPr>
                <w:rFonts w:asciiTheme="majorBidi" w:hAnsiTheme="majorBidi" w:cstheme="majorBidi"/>
                <w:lang w:val="ro-RO"/>
              </w:rPr>
              <w:br/>
              <w:t>- evaporat la 150°C</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 v/v </w:t>
            </w:r>
            <w:r w:rsidRPr="006A4A3A">
              <w:rPr>
                <w:rFonts w:asciiTheme="majorBidi" w:hAnsiTheme="majorBidi" w:cstheme="majorBidi"/>
                <w:lang w:val="ro-RO"/>
              </w:rPr>
              <w:br/>
              <w:t>% v/v</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46,0 </w:t>
            </w:r>
            <w:r w:rsidRPr="006A4A3A">
              <w:rPr>
                <w:rFonts w:asciiTheme="majorBidi" w:hAnsiTheme="majorBidi" w:cstheme="majorBidi"/>
                <w:lang w:val="ro-RO"/>
              </w:rPr>
              <w:br/>
              <w:t>75,0</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 </w:t>
            </w:r>
            <w:r w:rsidRPr="006A4A3A">
              <w:rPr>
                <w:rFonts w:asciiTheme="majorBidi" w:hAnsiTheme="majorBidi" w:cstheme="majorBidi"/>
                <w:lang w:val="ro-RO"/>
              </w:rPr>
              <w:br/>
              <w:t>-</w:t>
            </w:r>
          </w:p>
        </w:tc>
      </w:tr>
      <w:tr w:rsidR="009C16D1" w:rsidRPr="006A4A3A" w:rsidTr="00961315">
        <w:trPr>
          <w:trHeight w:val="861"/>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Analize hidrocarburi: </w:t>
            </w:r>
            <w:r w:rsidRPr="006A4A3A">
              <w:rPr>
                <w:rFonts w:asciiTheme="majorBidi" w:hAnsiTheme="majorBidi" w:cstheme="majorBidi"/>
                <w:lang w:val="ro-RO"/>
              </w:rPr>
              <w:br/>
              <w:t>- olefine </w:t>
            </w:r>
            <w:r w:rsidRPr="006A4A3A">
              <w:rPr>
                <w:rFonts w:asciiTheme="majorBidi" w:hAnsiTheme="majorBidi" w:cstheme="majorBidi"/>
                <w:lang w:val="ro-RO"/>
              </w:rPr>
              <w:br/>
              <w:t>- aromatice </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 v/v</w:t>
            </w:r>
          </w:p>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 v/v</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 </w:t>
            </w:r>
            <w:r w:rsidRPr="006A4A3A">
              <w:rPr>
                <w:rFonts w:asciiTheme="majorBidi" w:hAnsiTheme="majorBidi" w:cstheme="majorBidi"/>
                <w:lang w:val="ro-RO"/>
              </w:rPr>
              <w:br/>
              <w:t>- </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18,0 </w:t>
            </w:r>
            <w:r w:rsidRPr="006A4A3A">
              <w:rPr>
                <w:rFonts w:asciiTheme="majorBidi" w:hAnsiTheme="majorBidi" w:cstheme="majorBidi"/>
                <w:lang w:val="ro-RO"/>
              </w:rPr>
              <w:br/>
              <w:t>35,0 </w:t>
            </w:r>
          </w:p>
        </w:tc>
      </w:tr>
      <w:tr w:rsidR="009C16D1" w:rsidRPr="006A4A3A" w:rsidTr="00961315">
        <w:trPr>
          <w:trHeight w:val="422"/>
        </w:trPr>
        <w:tc>
          <w:tcPr>
            <w:tcW w:w="14" w:type="pct"/>
            <w:tcMar>
              <w:top w:w="0" w:type="dxa"/>
              <w:left w:w="0" w:type="dxa"/>
              <w:bottom w:w="0" w:type="dxa"/>
              <w:right w:w="0" w:type="dxa"/>
            </w:tcMar>
            <w:vAlign w:val="center"/>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Benzen</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 v/v</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1,0</w:t>
            </w:r>
          </w:p>
        </w:tc>
      </w:tr>
      <w:tr w:rsidR="009C16D1" w:rsidRPr="006A4A3A" w:rsidTr="00961315">
        <w:trPr>
          <w:trHeight w:val="34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Conținut de oxigen</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 m/m</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3,7</w:t>
            </w:r>
          </w:p>
        </w:tc>
      </w:tr>
      <w:tr w:rsidR="009C16D1" w:rsidRPr="006A4A3A" w:rsidTr="00961315">
        <w:trPr>
          <w:trHeight w:val="160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Oxigenați: </w:t>
            </w:r>
            <w:r w:rsidRPr="006A4A3A">
              <w:rPr>
                <w:rFonts w:asciiTheme="majorBidi" w:hAnsiTheme="majorBidi" w:cstheme="majorBidi"/>
                <w:lang w:val="ro-RO"/>
              </w:rPr>
              <w:br/>
              <w:t>-metanol;</w:t>
            </w:r>
            <w:r w:rsidRPr="006A4A3A">
              <w:rPr>
                <w:rFonts w:asciiTheme="majorBidi" w:hAnsiTheme="majorBidi" w:cstheme="majorBidi"/>
                <w:lang w:val="ro-RO"/>
              </w:rPr>
              <w:br/>
              <w:t>- etanol, pot fi necesari agenți de stabilizare; </w:t>
            </w:r>
            <w:r w:rsidRPr="006A4A3A">
              <w:rPr>
                <w:rFonts w:asciiTheme="majorBidi" w:hAnsiTheme="majorBidi" w:cstheme="majorBidi"/>
                <w:lang w:val="ro-RO"/>
              </w:rPr>
              <w:br/>
              <w:t>-alcool izopropilic; </w:t>
            </w:r>
            <w:r w:rsidRPr="006A4A3A">
              <w:rPr>
                <w:rFonts w:asciiTheme="majorBidi" w:hAnsiTheme="majorBidi" w:cstheme="majorBidi"/>
                <w:lang w:val="ro-RO"/>
              </w:rPr>
              <w:br/>
              <w:t>-alcool butilic terțiar;</w:t>
            </w:r>
            <w:r w:rsidRPr="006A4A3A">
              <w:rPr>
                <w:rFonts w:asciiTheme="majorBidi" w:hAnsiTheme="majorBidi" w:cstheme="majorBidi"/>
                <w:lang w:val="ro-RO"/>
              </w:rPr>
              <w:br/>
              <w:t>-alcool izobutilic; </w:t>
            </w:r>
            <w:r w:rsidRPr="006A4A3A">
              <w:rPr>
                <w:rFonts w:asciiTheme="majorBidi" w:hAnsiTheme="majorBidi" w:cstheme="majorBidi"/>
                <w:lang w:val="ro-RO"/>
              </w:rPr>
              <w:br/>
              <w:t>- eteri conținînd 5 sau mai mulți atomi de carbon în moleculă.</w:t>
            </w:r>
          </w:p>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Alți compuși oxigenanți</w:t>
            </w:r>
            <w:r w:rsidRPr="006A4A3A">
              <w:rPr>
                <w:rFonts w:asciiTheme="majorBidi" w:hAnsiTheme="majorBidi" w:cstheme="majorBidi"/>
                <w:vertAlign w:val="superscript"/>
                <w:lang w:val="ro-RO"/>
              </w:rPr>
              <w:t>5</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 v/v </w:t>
            </w:r>
            <w:r w:rsidRPr="006A4A3A">
              <w:rPr>
                <w:rFonts w:asciiTheme="majorBidi" w:hAnsiTheme="majorBidi" w:cstheme="majorBidi"/>
                <w:lang w:val="ro-RO"/>
              </w:rPr>
              <w:br/>
              <w:t>% v/v </w:t>
            </w:r>
            <w:r w:rsidRPr="006A4A3A">
              <w:rPr>
                <w:rFonts w:asciiTheme="majorBidi" w:hAnsiTheme="majorBidi" w:cstheme="majorBidi"/>
                <w:lang w:val="ro-RO"/>
              </w:rPr>
              <w:br/>
              <w:t>% v/v </w:t>
            </w:r>
            <w:r w:rsidRPr="006A4A3A">
              <w:rPr>
                <w:rFonts w:asciiTheme="majorBidi" w:hAnsiTheme="majorBidi" w:cstheme="majorBidi"/>
                <w:lang w:val="ro-RO"/>
              </w:rPr>
              <w:br/>
              <w:t>% v/v </w:t>
            </w:r>
            <w:r w:rsidRPr="006A4A3A">
              <w:rPr>
                <w:rFonts w:asciiTheme="majorBidi" w:hAnsiTheme="majorBidi" w:cstheme="majorBidi"/>
                <w:lang w:val="ro-RO"/>
              </w:rPr>
              <w:br/>
              <w:t>% v/v </w:t>
            </w:r>
            <w:r w:rsidRPr="006A4A3A">
              <w:rPr>
                <w:rFonts w:asciiTheme="majorBidi" w:hAnsiTheme="majorBidi" w:cstheme="majorBidi"/>
                <w:lang w:val="ro-RO"/>
              </w:rPr>
              <w:br/>
              <w:t>% v/v</w:t>
            </w:r>
          </w:p>
          <w:p w:rsidR="009C16D1" w:rsidRPr="006A4A3A" w:rsidRDefault="009C16D1" w:rsidP="00961315">
            <w:pPr>
              <w:ind w:firstLine="0"/>
              <w:jc w:val="center"/>
              <w:rPr>
                <w:rFonts w:asciiTheme="majorBidi" w:hAnsiTheme="majorBidi" w:cstheme="majorBidi"/>
                <w:lang w:val="ro-RO"/>
              </w:rPr>
            </w:pPr>
          </w:p>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 v/v</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 </w:t>
            </w:r>
            <w:r w:rsidRPr="006A4A3A">
              <w:rPr>
                <w:rFonts w:asciiTheme="majorBidi" w:hAnsiTheme="majorBidi" w:cstheme="majorBidi"/>
                <w:lang w:val="ro-RO"/>
              </w:rPr>
              <w:br/>
              <w:t>- </w:t>
            </w:r>
            <w:r w:rsidRPr="006A4A3A">
              <w:rPr>
                <w:rFonts w:asciiTheme="majorBidi" w:hAnsiTheme="majorBidi" w:cstheme="majorBidi"/>
                <w:lang w:val="ro-RO"/>
              </w:rPr>
              <w:br/>
              <w:t>- </w:t>
            </w:r>
            <w:r w:rsidRPr="006A4A3A">
              <w:rPr>
                <w:rFonts w:asciiTheme="majorBidi" w:hAnsiTheme="majorBidi" w:cstheme="majorBidi"/>
                <w:lang w:val="ro-RO"/>
              </w:rPr>
              <w:br/>
              <w:t>- </w:t>
            </w:r>
            <w:r w:rsidRPr="006A4A3A">
              <w:rPr>
                <w:rFonts w:asciiTheme="majorBidi" w:hAnsiTheme="majorBidi" w:cstheme="majorBidi"/>
                <w:lang w:val="ro-RO"/>
              </w:rPr>
              <w:br/>
              <w:t>- </w:t>
            </w:r>
            <w:r w:rsidRPr="006A4A3A">
              <w:rPr>
                <w:rFonts w:asciiTheme="majorBidi" w:hAnsiTheme="majorBidi" w:cstheme="majorBidi"/>
                <w:lang w:val="ro-RO"/>
              </w:rPr>
              <w:br/>
              <w:t>-</w:t>
            </w:r>
          </w:p>
          <w:p w:rsidR="009C16D1" w:rsidRPr="006A4A3A" w:rsidRDefault="009C16D1" w:rsidP="00961315">
            <w:pPr>
              <w:ind w:firstLine="0"/>
              <w:jc w:val="center"/>
              <w:rPr>
                <w:rFonts w:asciiTheme="majorBidi" w:hAnsiTheme="majorBidi" w:cstheme="majorBidi"/>
                <w:lang w:val="ro-RO"/>
              </w:rPr>
            </w:pPr>
          </w:p>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br/>
              <w:t>3,0 </w:t>
            </w:r>
            <w:r w:rsidRPr="006A4A3A">
              <w:rPr>
                <w:rFonts w:asciiTheme="majorBidi" w:hAnsiTheme="majorBidi" w:cstheme="majorBidi"/>
                <w:lang w:val="ro-RO"/>
              </w:rPr>
              <w:br/>
              <w:t>10,0</w:t>
            </w:r>
            <w:r w:rsidRPr="006A4A3A">
              <w:rPr>
                <w:rFonts w:asciiTheme="majorBidi" w:hAnsiTheme="majorBidi" w:cstheme="majorBidi"/>
                <w:lang w:val="ro-RO"/>
              </w:rPr>
              <w:br/>
              <w:t>12,0</w:t>
            </w:r>
            <w:r w:rsidRPr="006A4A3A">
              <w:rPr>
                <w:rFonts w:asciiTheme="majorBidi" w:hAnsiTheme="majorBidi" w:cstheme="majorBidi"/>
                <w:lang w:val="ro-RO"/>
              </w:rPr>
              <w:br/>
              <w:t>15,0 </w:t>
            </w:r>
            <w:r w:rsidRPr="006A4A3A">
              <w:rPr>
                <w:rFonts w:asciiTheme="majorBidi" w:hAnsiTheme="majorBidi" w:cstheme="majorBidi"/>
                <w:lang w:val="ro-RO"/>
              </w:rPr>
              <w:br/>
              <w:t>15,0</w:t>
            </w:r>
            <w:r w:rsidRPr="006A4A3A">
              <w:rPr>
                <w:rFonts w:asciiTheme="majorBidi" w:hAnsiTheme="majorBidi" w:cstheme="majorBidi"/>
                <w:lang w:val="ro-RO"/>
              </w:rPr>
              <w:br/>
              <w:t>22,0</w:t>
            </w:r>
          </w:p>
          <w:p w:rsidR="009C16D1" w:rsidRPr="006A4A3A" w:rsidRDefault="009C16D1" w:rsidP="00961315">
            <w:pPr>
              <w:ind w:firstLine="0"/>
              <w:jc w:val="center"/>
              <w:rPr>
                <w:rFonts w:asciiTheme="majorBidi" w:hAnsiTheme="majorBidi" w:cstheme="majorBidi"/>
                <w:lang w:val="ro-RO"/>
              </w:rPr>
            </w:pPr>
          </w:p>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15,0</w:t>
            </w:r>
          </w:p>
        </w:tc>
      </w:tr>
      <w:tr w:rsidR="009C16D1" w:rsidRPr="006A4A3A" w:rsidTr="00961315">
        <w:trPr>
          <w:trHeight w:val="345"/>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Conținut de sulf</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mg/kg</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10,0</w:t>
            </w:r>
          </w:p>
        </w:tc>
      </w:tr>
      <w:tr w:rsidR="009C16D1" w:rsidRPr="006A4A3A" w:rsidTr="00961315">
        <w:trPr>
          <w:trHeight w:val="360"/>
        </w:trPr>
        <w:tc>
          <w:tcPr>
            <w:tcW w:w="14" w:type="pct"/>
            <w:tcMar>
              <w:top w:w="0" w:type="dxa"/>
              <w:left w:w="0" w:type="dxa"/>
              <w:bottom w:w="0" w:type="dxa"/>
              <w:right w:w="0" w:type="dxa"/>
            </w:tcMar>
            <w:vAlign w:val="center"/>
            <w:hideMark/>
          </w:tcPr>
          <w:p w:rsidR="009C16D1" w:rsidRPr="006A4A3A" w:rsidRDefault="009C16D1" w:rsidP="00961315">
            <w:pPr>
              <w:keepNext/>
              <w:keepLines/>
              <w:ind w:firstLine="0"/>
              <w:outlineLvl w:val="0"/>
              <w:rPr>
                <w:rFonts w:asciiTheme="majorBidi" w:hAnsiTheme="majorBidi" w:cstheme="majorBidi"/>
                <w:lang w:val="ro-RO"/>
              </w:rPr>
            </w:pPr>
          </w:p>
        </w:tc>
        <w:tc>
          <w:tcPr>
            <w:tcW w:w="2297"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9C16D1" w:rsidRPr="006A4A3A" w:rsidRDefault="009C16D1" w:rsidP="00961315">
            <w:pPr>
              <w:ind w:firstLine="0"/>
              <w:jc w:val="left"/>
              <w:rPr>
                <w:rFonts w:asciiTheme="majorBidi" w:hAnsiTheme="majorBidi" w:cstheme="majorBidi"/>
                <w:lang w:val="ro-RO"/>
              </w:rPr>
            </w:pPr>
            <w:r w:rsidRPr="006A4A3A">
              <w:rPr>
                <w:rFonts w:asciiTheme="majorBidi" w:hAnsiTheme="majorBidi" w:cstheme="majorBidi"/>
                <w:lang w:val="ro-RO"/>
              </w:rPr>
              <w:t>Conținut de plumb</w:t>
            </w:r>
          </w:p>
        </w:tc>
        <w:tc>
          <w:tcPr>
            <w:tcW w:w="738"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g/l</w:t>
            </w:r>
          </w:p>
        </w:tc>
        <w:tc>
          <w:tcPr>
            <w:tcW w:w="799"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w:t>
            </w:r>
          </w:p>
        </w:tc>
        <w:tc>
          <w:tcPr>
            <w:tcW w:w="115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hideMark/>
          </w:tcPr>
          <w:p w:rsidR="009C16D1" w:rsidRPr="006A4A3A" w:rsidRDefault="009C16D1" w:rsidP="00961315">
            <w:pPr>
              <w:ind w:firstLine="0"/>
              <w:jc w:val="center"/>
              <w:rPr>
                <w:rFonts w:asciiTheme="majorBidi" w:hAnsiTheme="majorBidi" w:cstheme="majorBidi"/>
                <w:lang w:val="ro-RO"/>
              </w:rPr>
            </w:pPr>
            <w:r w:rsidRPr="006A4A3A">
              <w:rPr>
                <w:rFonts w:asciiTheme="majorBidi" w:hAnsiTheme="majorBidi" w:cstheme="majorBidi"/>
                <w:lang w:val="ro-RO"/>
              </w:rPr>
              <w:t>0,005</w:t>
            </w:r>
          </w:p>
        </w:tc>
      </w:tr>
    </w:tbl>
    <w:p w:rsidR="009C16D1" w:rsidRPr="006A4A3A" w:rsidRDefault="009C16D1" w:rsidP="009C16D1">
      <w:pPr>
        <w:rPr>
          <w:rFonts w:asciiTheme="majorBidi" w:hAnsiTheme="majorBidi" w:cstheme="majorBidi"/>
          <w:sz w:val="22"/>
          <w:szCs w:val="22"/>
          <w:vertAlign w:val="superscript"/>
          <w:lang w:val="ro-RO"/>
        </w:rPr>
      </w:pP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vertAlign w:val="superscript"/>
          <w:lang w:val="ro-RO"/>
        </w:rPr>
        <w:t>1)</w:t>
      </w:r>
      <w:r w:rsidRPr="006A4A3A">
        <w:rPr>
          <w:rFonts w:asciiTheme="majorBidi" w:hAnsiTheme="majorBidi" w:cstheme="majorBidi"/>
          <w:sz w:val="22"/>
          <w:szCs w:val="22"/>
          <w:lang w:val="ro-RO"/>
        </w:rPr>
        <w:t xml:space="preserve">Metodele de încercare sînt cele specificate în standardul SM EN 228 „Carburanți pentru automobile. Benzină fără plumb. Cerințe și metode de încercare”. </w:t>
      </w:r>
      <w:r w:rsidRPr="006A4A3A">
        <w:rPr>
          <w:rFonts w:asciiTheme="majorBidi" w:hAnsiTheme="majorBidi" w:cstheme="majorBidi"/>
          <w:color w:val="000000"/>
          <w:sz w:val="22"/>
          <w:szCs w:val="22"/>
          <w:lang w:val="ro-RO"/>
        </w:rPr>
        <w:t xml:space="preserve"> Pot fi utilizate metode analitice de înlocuire a celor specificate în standardul SM EN 228, dacă se poate demonstra că acestea oferă cel puțin aceeași precizie ca metodele analitice pe care le înlocuiesc.</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 </w:t>
      </w:r>
      <w:r w:rsidRPr="006A4A3A">
        <w:rPr>
          <w:rFonts w:asciiTheme="majorBidi" w:hAnsiTheme="majorBidi" w:cstheme="majorBidi"/>
          <w:sz w:val="22"/>
          <w:szCs w:val="22"/>
          <w:vertAlign w:val="superscript"/>
          <w:lang w:val="ro-RO"/>
        </w:rPr>
        <w:t>2)</w:t>
      </w:r>
      <w:r w:rsidRPr="006A4A3A">
        <w:rPr>
          <w:rFonts w:asciiTheme="majorBidi" w:hAnsiTheme="majorBidi" w:cstheme="majorBidi"/>
          <w:sz w:val="22"/>
          <w:szCs w:val="22"/>
          <w:lang w:val="ro-RO"/>
        </w:rPr>
        <w:t> Valorile menționate în specificație sînt„valori reale”. La stabilirea valorilor lor limită au fost aplicați termenii standardului SM EN ISO 4259 „Petrol și produse înrudite. Fidelitatea metodelor de măsurare și a rezultatelor” în vigoare, iar pentru stabilirea unei valori minime s-a luat în considerare o diferență minimă de 2R peste zero (R = reproductibilitatea). Rezultatele măsurărilor individuale vor fi interpretate pe baza criteriilor descrise în standardul SM EN ISO 4259.</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vertAlign w:val="superscript"/>
          <w:lang w:val="ro-RO"/>
        </w:rPr>
        <w:t>3)</w:t>
      </w:r>
      <w:r w:rsidRPr="006A4A3A">
        <w:rPr>
          <w:rFonts w:asciiTheme="majorBidi" w:hAnsiTheme="majorBidi" w:cstheme="majorBidi"/>
          <w:sz w:val="22"/>
          <w:szCs w:val="22"/>
          <w:lang w:val="ro-RO"/>
        </w:rPr>
        <w:t> Benzina de tip regular fără plumb poate fi comercializată cu o cifră octanică „motor” (COM) minimă de 81 și o cifră octanică „research” (COR) minimă de 91. În acest caz, ceilalți parametri trebuie să fie conformi normelor indicate în tabelul 1.</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 </w:t>
      </w:r>
      <w:r w:rsidRPr="006A4A3A">
        <w:rPr>
          <w:rFonts w:asciiTheme="majorBidi" w:hAnsiTheme="majorBidi" w:cstheme="majorBidi"/>
          <w:sz w:val="22"/>
          <w:szCs w:val="22"/>
          <w:vertAlign w:val="superscript"/>
          <w:lang w:val="ro-RO"/>
        </w:rPr>
        <w:t>4)</w:t>
      </w:r>
      <w:r w:rsidRPr="006A4A3A">
        <w:rPr>
          <w:rFonts w:asciiTheme="majorBidi" w:hAnsiTheme="majorBidi" w:cstheme="majorBidi"/>
          <w:sz w:val="22"/>
          <w:szCs w:val="22"/>
          <w:lang w:val="ro-RO"/>
        </w:rPr>
        <w:t> Se consideră perioada de:</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-vară : 1 mai – 30 septembrie;</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-tranziție toamnă: 1octombrie – 15 noiembrie;</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-iarna : 16 noiembrie – 15 martie;</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-tranziție primăvară: 16 martie – 30 aprilie.</w:t>
      </w:r>
    </w:p>
    <w:p w:rsidR="009C16D1" w:rsidRPr="006A4A3A" w:rsidRDefault="009C16D1" w:rsidP="009C16D1">
      <w:pPr>
        <w:rPr>
          <w:rFonts w:asciiTheme="majorBidi" w:hAnsiTheme="majorBidi" w:cstheme="majorBidi"/>
          <w:sz w:val="22"/>
          <w:szCs w:val="22"/>
          <w:lang w:val="ro-RO"/>
        </w:rPr>
      </w:pPr>
      <w:r w:rsidRPr="006A4A3A">
        <w:rPr>
          <w:rFonts w:asciiTheme="majorBidi" w:hAnsiTheme="majorBidi" w:cstheme="majorBidi"/>
          <w:sz w:val="22"/>
          <w:szCs w:val="22"/>
          <w:lang w:val="ro-RO"/>
        </w:rPr>
        <w:t> </w:t>
      </w:r>
      <w:r w:rsidRPr="006A4A3A">
        <w:rPr>
          <w:rFonts w:asciiTheme="majorBidi" w:hAnsiTheme="majorBidi" w:cstheme="majorBidi"/>
          <w:sz w:val="22"/>
          <w:szCs w:val="22"/>
          <w:vertAlign w:val="superscript"/>
          <w:lang w:val="ro-RO"/>
        </w:rPr>
        <w:t>5)</w:t>
      </w:r>
      <w:r w:rsidRPr="006A4A3A">
        <w:rPr>
          <w:rFonts w:asciiTheme="majorBidi" w:hAnsiTheme="majorBidi" w:cstheme="majorBidi"/>
          <w:sz w:val="22"/>
          <w:szCs w:val="22"/>
          <w:lang w:val="ro-RO"/>
        </w:rPr>
        <w:t> Alți monoalcooli și eteri cu un punct final de fierbere care nu îl depășește pe cel menționat în standardul SM  EN 228.</w:t>
      </w:r>
    </w:p>
    <w:p w:rsidR="009C16D1" w:rsidRPr="006A4A3A" w:rsidRDefault="009C16D1" w:rsidP="009C16D1">
      <w:pPr>
        <w:ind w:left="426"/>
        <w:rPr>
          <w:rFonts w:asciiTheme="majorBidi" w:hAnsiTheme="majorBidi" w:cstheme="majorBidi"/>
          <w:sz w:val="22"/>
          <w:szCs w:val="22"/>
          <w:lang w:val="ro-RO"/>
        </w:rPr>
      </w:pPr>
    </w:p>
    <w:p w:rsidR="009C16D1" w:rsidRPr="006A4A3A" w:rsidRDefault="009C16D1" w:rsidP="009C16D1">
      <w:pPr>
        <w:ind w:left="709"/>
        <w:jc w:val="right"/>
        <w:rPr>
          <w:rFonts w:asciiTheme="majorBidi" w:hAnsiTheme="majorBidi" w:cstheme="majorBidi"/>
          <w:color w:val="000000"/>
          <w:sz w:val="28"/>
          <w:szCs w:val="28"/>
          <w:lang w:val="ro-RO"/>
        </w:rPr>
      </w:pPr>
      <w:r w:rsidRPr="006A4A3A">
        <w:rPr>
          <w:rFonts w:asciiTheme="majorBidi" w:hAnsiTheme="majorBidi" w:cstheme="majorBidi"/>
          <w:color w:val="000000"/>
          <w:sz w:val="28"/>
          <w:szCs w:val="28"/>
          <w:lang w:val="ro-RO"/>
        </w:rPr>
        <w:t>Tabelul 2</w:t>
      </w:r>
    </w:p>
    <w:p w:rsidR="009C16D1" w:rsidRPr="006A4A3A" w:rsidRDefault="009C16D1" w:rsidP="009C16D1">
      <w:pPr>
        <w:ind w:firstLine="0"/>
        <w:jc w:val="center"/>
        <w:rPr>
          <w:rFonts w:asciiTheme="majorBidi" w:hAnsiTheme="majorBidi" w:cstheme="majorBidi"/>
          <w:b/>
          <w:bCs/>
          <w:color w:val="000000"/>
          <w:sz w:val="28"/>
          <w:szCs w:val="28"/>
          <w:lang w:val="ro-RO"/>
        </w:rPr>
      </w:pPr>
      <w:r w:rsidRPr="006A4A3A">
        <w:rPr>
          <w:rFonts w:asciiTheme="majorBidi" w:hAnsiTheme="majorBidi" w:cstheme="majorBidi"/>
          <w:b/>
          <w:bCs/>
          <w:color w:val="000000"/>
          <w:sz w:val="28"/>
          <w:szCs w:val="28"/>
          <w:lang w:val="ro-RO"/>
        </w:rPr>
        <w:t>Specificațiile  tehnice pentru motorină</w:t>
      </w:r>
    </w:p>
    <w:p w:rsidR="009C16D1" w:rsidRPr="006A4A3A" w:rsidRDefault="009C16D1" w:rsidP="009C16D1">
      <w:pPr>
        <w:ind w:firstLine="0"/>
        <w:jc w:val="center"/>
        <w:rPr>
          <w:rFonts w:asciiTheme="majorBidi" w:hAnsiTheme="majorBidi" w:cstheme="majorBidi"/>
          <w:b/>
          <w:bCs/>
          <w:color w:val="000000"/>
          <w:sz w:val="28"/>
          <w:szCs w:val="28"/>
          <w:lang w:val="ro-RO"/>
        </w:rPr>
      </w:pPr>
    </w:p>
    <w:tbl>
      <w:tblPr>
        <w:tblW w:w="5000" w:type="pct"/>
        <w:jc w:val="right"/>
        <w:tblCellMar>
          <w:top w:w="15" w:type="dxa"/>
          <w:left w:w="15" w:type="dxa"/>
          <w:bottom w:w="15" w:type="dxa"/>
          <w:right w:w="15" w:type="dxa"/>
        </w:tblCellMar>
        <w:tblLook w:val="04A0" w:firstRow="1" w:lastRow="0" w:firstColumn="1" w:lastColumn="0" w:noHBand="0" w:noVBand="1"/>
      </w:tblPr>
      <w:tblGrid>
        <w:gridCol w:w="22"/>
        <w:gridCol w:w="4283"/>
        <w:gridCol w:w="1873"/>
        <w:gridCol w:w="1688"/>
        <w:gridCol w:w="1781"/>
      </w:tblGrid>
      <w:tr w:rsidR="009C16D1" w:rsidRPr="006A4A3A" w:rsidTr="00961315">
        <w:trPr>
          <w:trHeight w:val="390"/>
          <w:jc w:val="right"/>
        </w:trPr>
        <w:tc>
          <w:tcPr>
            <w:tcW w:w="11" w:type="pct"/>
            <w:tcMar>
              <w:top w:w="0" w:type="dxa"/>
              <w:left w:w="0" w:type="dxa"/>
              <w:bottom w:w="0" w:type="dxa"/>
              <w:right w:w="0" w:type="dxa"/>
            </w:tcMar>
            <w:vAlign w:val="center"/>
            <w:hideMark/>
          </w:tcPr>
          <w:p w:rsidR="009C16D1" w:rsidRPr="006A4A3A" w:rsidRDefault="009C16D1" w:rsidP="00961315">
            <w:pPr>
              <w:rPr>
                <w:rFonts w:asciiTheme="majorBidi" w:hAnsiTheme="majorBidi" w:cstheme="majorBidi"/>
                <w:sz w:val="24"/>
                <w:szCs w:val="24"/>
                <w:lang w:val="ro-RO"/>
              </w:rPr>
            </w:pPr>
          </w:p>
        </w:tc>
        <w:tc>
          <w:tcPr>
            <w:tcW w:w="2220" w:type="pct"/>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center"/>
              <w:rPr>
                <w:rFonts w:asciiTheme="majorBidi" w:hAnsiTheme="majorBidi" w:cstheme="majorBidi"/>
                <w:b/>
                <w:bCs/>
                <w:sz w:val="24"/>
                <w:szCs w:val="24"/>
                <w:lang w:val="ro-RO"/>
              </w:rPr>
            </w:pPr>
            <w:r w:rsidRPr="006A4A3A">
              <w:rPr>
                <w:rFonts w:asciiTheme="majorBidi" w:hAnsiTheme="majorBidi" w:cstheme="majorBidi"/>
                <w:b/>
                <w:bCs/>
                <w:sz w:val="24"/>
                <w:szCs w:val="24"/>
                <w:lang w:val="ro-RO"/>
              </w:rPr>
              <w:t>Parametrii</w:t>
            </w:r>
            <w:r w:rsidRPr="006A4A3A">
              <w:rPr>
                <w:rFonts w:asciiTheme="majorBidi" w:hAnsiTheme="majorBidi" w:cstheme="majorBidi"/>
                <w:b/>
                <w:bCs/>
                <w:sz w:val="24"/>
                <w:szCs w:val="24"/>
                <w:vertAlign w:val="superscript"/>
                <w:lang w:val="ro-RO"/>
              </w:rPr>
              <w:t>1</w:t>
            </w:r>
          </w:p>
        </w:tc>
        <w:tc>
          <w:tcPr>
            <w:tcW w:w="971" w:type="pct"/>
            <w:vMerge w:val="restar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ind w:firstLine="0"/>
              <w:jc w:val="center"/>
              <w:rPr>
                <w:rFonts w:asciiTheme="majorBidi" w:hAnsiTheme="majorBidi" w:cstheme="majorBidi"/>
                <w:b/>
                <w:bCs/>
                <w:sz w:val="24"/>
                <w:szCs w:val="24"/>
                <w:lang w:val="ro-RO"/>
              </w:rPr>
            </w:pPr>
            <w:r w:rsidRPr="006A4A3A">
              <w:rPr>
                <w:rFonts w:asciiTheme="majorBidi" w:hAnsiTheme="majorBidi" w:cstheme="majorBidi"/>
                <w:b/>
                <w:bCs/>
                <w:sz w:val="24"/>
                <w:szCs w:val="24"/>
                <w:lang w:val="ro-RO"/>
              </w:rPr>
              <w:t>Unitatea</w:t>
            </w:r>
          </w:p>
        </w:tc>
        <w:tc>
          <w:tcPr>
            <w:tcW w:w="1798" w:type="pct"/>
            <w:gridSpan w:val="2"/>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ind w:firstLine="0"/>
              <w:jc w:val="center"/>
              <w:rPr>
                <w:rFonts w:asciiTheme="majorBidi" w:hAnsiTheme="majorBidi" w:cstheme="majorBidi"/>
                <w:b/>
                <w:bCs/>
                <w:sz w:val="24"/>
                <w:szCs w:val="24"/>
                <w:lang w:val="ro-RO"/>
              </w:rPr>
            </w:pPr>
            <w:r w:rsidRPr="006A4A3A">
              <w:rPr>
                <w:rFonts w:asciiTheme="majorBidi" w:hAnsiTheme="majorBidi" w:cstheme="majorBidi"/>
                <w:b/>
                <w:bCs/>
                <w:sz w:val="24"/>
                <w:szCs w:val="24"/>
                <w:lang w:val="ro-RO"/>
              </w:rPr>
              <w:t>Limitele</w:t>
            </w:r>
            <w:r w:rsidRPr="006A4A3A">
              <w:rPr>
                <w:rFonts w:asciiTheme="majorBidi" w:hAnsiTheme="majorBidi" w:cstheme="majorBidi"/>
                <w:b/>
                <w:bCs/>
                <w:sz w:val="24"/>
                <w:szCs w:val="24"/>
                <w:vertAlign w:val="superscript"/>
                <w:lang w:val="ro-RO"/>
              </w:rPr>
              <w:t>2</w:t>
            </w:r>
          </w:p>
        </w:tc>
      </w:tr>
      <w:tr w:rsidR="009C16D1" w:rsidRPr="006A4A3A" w:rsidTr="00961315">
        <w:trPr>
          <w:trHeight w:val="345"/>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keepNext/>
              <w:keepLines/>
              <w:ind w:firstLine="0"/>
              <w:jc w:val="center"/>
              <w:outlineLvl w:val="0"/>
              <w:rPr>
                <w:rFonts w:asciiTheme="majorBidi" w:hAnsiTheme="majorBidi" w:cstheme="majorBidi"/>
                <w:b/>
                <w:bCs/>
                <w:sz w:val="24"/>
                <w:szCs w:val="24"/>
                <w:lang w:val="ro-RO"/>
              </w:rPr>
            </w:pPr>
          </w:p>
        </w:tc>
        <w:tc>
          <w:tcPr>
            <w:tcW w:w="971" w:type="pct"/>
            <w:vMerge/>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keepNext/>
              <w:keepLines/>
              <w:ind w:firstLine="0"/>
              <w:jc w:val="center"/>
              <w:outlineLvl w:val="0"/>
              <w:rPr>
                <w:rFonts w:asciiTheme="majorBidi" w:hAnsiTheme="majorBidi" w:cstheme="majorBidi"/>
                <w:b/>
                <w:bCs/>
                <w:sz w:val="24"/>
                <w:szCs w:val="24"/>
                <w:lang w:val="ro-RO"/>
              </w:rPr>
            </w:pPr>
          </w:p>
        </w:tc>
        <w:tc>
          <w:tcPr>
            <w:tcW w:w="875"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center"/>
              <w:rPr>
                <w:rFonts w:asciiTheme="majorBidi" w:hAnsiTheme="majorBidi" w:cstheme="majorBidi"/>
                <w:b/>
                <w:bCs/>
                <w:sz w:val="24"/>
                <w:szCs w:val="24"/>
                <w:lang w:val="ro-RO"/>
              </w:rPr>
            </w:pPr>
            <w:r w:rsidRPr="006A4A3A">
              <w:rPr>
                <w:rFonts w:asciiTheme="majorBidi" w:hAnsiTheme="majorBidi" w:cstheme="majorBidi"/>
                <w:b/>
                <w:bCs/>
                <w:sz w:val="24"/>
                <w:szCs w:val="24"/>
                <w:lang w:val="ro-RO"/>
              </w:rPr>
              <w:t>minime</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ind w:firstLine="0"/>
              <w:jc w:val="center"/>
              <w:rPr>
                <w:rFonts w:asciiTheme="majorBidi" w:hAnsiTheme="majorBidi" w:cstheme="majorBidi"/>
                <w:b/>
                <w:bCs/>
                <w:sz w:val="24"/>
                <w:szCs w:val="24"/>
                <w:lang w:val="ro-RO"/>
              </w:rPr>
            </w:pPr>
            <w:r w:rsidRPr="006A4A3A">
              <w:rPr>
                <w:rFonts w:asciiTheme="majorBidi" w:hAnsiTheme="majorBidi" w:cstheme="majorBidi"/>
                <w:b/>
                <w:bCs/>
                <w:sz w:val="24"/>
                <w:szCs w:val="24"/>
                <w:lang w:val="ro-RO"/>
              </w:rPr>
              <w:t>maxime</w:t>
            </w:r>
          </w:p>
        </w:tc>
      </w:tr>
      <w:tr w:rsidR="009C16D1" w:rsidRPr="006A4A3A" w:rsidTr="00961315">
        <w:trPr>
          <w:trHeight w:val="654"/>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left"/>
              <w:rPr>
                <w:rFonts w:asciiTheme="majorBidi" w:hAnsiTheme="majorBidi" w:cstheme="majorBidi"/>
                <w:sz w:val="24"/>
                <w:szCs w:val="24"/>
                <w:lang w:val="ro-RO"/>
              </w:rPr>
            </w:pPr>
            <w:r w:rsidRPr="006A4A3A">
              <w:rPr>
                <w:rFonts w:asciiTheme="majorBidi" w:hAnsiTheme="majorBidi" w:cstheme="majorBidi"/>
                <w:sz w:val="24"/>
                <w:szCs w:val="24"/>
                <w:lang w:val="ro-RO"/>
              </w:rPr>
              <w:t>Cifra  cetanică</w:t>
            </w:r>
          </w:p>
        </w:tc>
        <w:tc>
          <w:tcPr>
            <w:tcW w:w="971"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center"/>
              <w:rPr>
                <w:rFonts w:asciiTheme="majorBidi" w:hAnsiTheme="majorBidi" w:cstheme="majorBidi"/>
                <w:sz w:val="24"/>
                <w:szCs w:val="24"/>
                <w:lang w:val="ro-RO"/>
              </w:rPr>
            </w:pPr>
          </w:p>
        </w:tc>
        <w:tc>
          <w:tcPr>
            <w:tcW w:w="875"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center"/>
              <w:rPr>
                <w:rFonts w:asciiTheme="majorBidi" w:hAnsiTheme="majorBidi" w:cstheme="majorBidi"/>
                <w:sz w:val="24"/>
                <w:szCs w:val="24"/>
                <w:lang w:val="ro-RO"/>
              </w:rPr>
            </w:pPr>
            <w:r w:rsidRPr="006A4A3A">
              <w:rPr>
                <w:rFonts w:asciiTheme="majorBidi" w:hAnsiTheme="majorBidi" w:cstheme="majorBidi"/>
                <w:sz w:val="24"/>
                <w:szCs w:val="24"/>
                <w:lang w:val="ro-RO"/>
              </w:rPr>
              <w:t>51,0</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center"/>
              <w:rPr>
                <w:rFonts w:asciiTheme="majorBidi" w:hAnsiTheme="majorBidi" w:cstheme="majorBidi"/>
                <w:sz w:val="24"/>
                <w:szCs w:val="24"/>
                <w:lang w:val="ro-RO"/>
              </w:rPr>
            </w:pPr>
            <w:r w:rsidRPr="006A4A3A">
              <w:rPr>
                <w:rFonts w:asciiTheme="majorBidi" w:hAnsiTheme="majorBidi" w:cstheme="majorBidi"/>
                <w:sz w:val="24"/>
                <w:szCs w:val="24"/>
                <w:lang w:val="ro-RO"/>
              </w:rPr>
              <w:t>-</w:t>
            </w:r>
          </w:p>
        </w:tc>
      </w:tr>
      <w:tr w:rsidR="009C16D1" w:rsidRPr="006A4A3A" w:rsidTr="00961315">
        <w:trPr>
          <w:trHeight w:val="345"/>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left"/>
              <w:rPr>
                <w:rFonts w:asciiTheme="majorBidi" w:hAnsiTheme="majorBidi" w:cstheme="majorBidi"/>
                <w:sz w:val="24"/>
                <w:szCs w:val="24"/>
                <w:lang w:val="ro-RO"/>
              </w:rPr>
            </w:pPr>
            <w:r w:rsidRPr="006A4A3A">
              <w:rPr>
                <w:rFonts w:asciiTheme="majorBidi" w:hAnsiTheme="majorBidi" w:cstheme="majorBidi"/>
                <w:sz w:val="24"/>
                <w:szCs w:val="24"/>
                <w:lang w:val="ro-RO"/>
              </w:rPr>
              <w:t>Densitatea la 15°C</w:t>
            </w:r>
          </w:p>
        </w:tc>
        <w:tc>
          <w:tcPr>
            <w:tcW w:w="971"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kg/m</w:t>
            </w:r>
            <w:r w:rsidRPr="006A4A3A">
              <w:rPr>
                <w:rFonts w:asciiTheme="majorBidi" w:hAnsiTheme="majorBidi" w:cstheme="majorBidi"/>
                <w:bCs/>
                <w:sz w:val="24"/>
                <w:szCs w:val="24"/>
                <w:vertAlign w:val="superscript"/>
                <w:lang w:val="ro-RO"/>
              </w:rPr>
              <w:t>3</w:t>
            </w:r>
          </w:p>
        </w:tc>
        <w:tc>
          <w:tcPr>
            <w:tcW w:w="875"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845,0</w:t>
            </w:r>
          </w:p>
        </w:tc>
      </w:tr>
      <w:tr w:rsidR="009C16D1" w:rsidRPr="006A4A3A" w:rsidTr="00961315">
        <w:trPr>
          <w:trHeight w:val="345"/>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left"/>
              <w:rPr>
                <w:rFonts w:asciiTheme="majorBidi" w:hAnsiTheme="majorBidi" w:cstheme="majorBidi"/>
                <w:sz w:val="24"/>
                <w:szCs w:val="24"/>
                <w:lang w:val="ro-RO"/>
              </w:rPr>
            </w:pPr>
            <w:r w:rsidRPr="006A4A3A">
              <w:rPr>
                <w:rFonts w:asciiTheme="majorBidi" w:hAnsiTheme="majorBidi" w:cstheme="majorBidi"/>
                <w:sz w:val="24"/>
                <w:szCs w:val="24"/>
                <w:lang w:val="ro-RO"/>
              </w:rPr>
              <w:t>Punctul de distilare 95% v/v</w:t>
            </w:r>
          </w:p>
        </w:tc>
        <w:tc>
          <w:tcPr>
            <w:tcW w:w="971"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°C</w:t>
            </w:r>
            <w:r w:rsidRPr="006A4A3A">
              <w:rPr>
                <w:rFonts w:asciiTheme="majorBidi" w:hAnsiTheme="majorBidi" w:cstheme="majorBidi"/>
                <w:sz w:val="24"/>
                <w:szCs w:val="24"/>
                <w:lang w:val="ro-RO"/>
              </w:rPr>
              <w:br/>
            </w:r>
          </w:p>
        </w:tc>
        <w:tc>
          <w:tcPr>
            <w:tcW w:w="875"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360,0</w:t>
            </w:r>
          </w:p>
        </w:tc>
      </w:tr>
      <w:tr w:rsidR="009C16D1" w:rsidRPr="006A4A3A" w:rsidTr="00961315">
        <w:trPr>
          <w:trHeight w:val="345"/>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left"/>
              <w:rPr>
                <w:rFonts w:asciiTheme="majorBidi" w:hAnsiTheme="majorBidi" w:cstheme="majorBidi"/>
                <w:sz w:val="24"/>
                <w:szCs w:val="24"/>
                <w:lang w:val="ro-RO"/>
              </w:rPr>
            </w:pPr>
            <w:r w:rsidRPr="006A4A3A">
              <w:rPr>
                <w:rFonts w:asciiTheme="majorBidi" w:hAnsiTheme="majorBidi" w:cstheme="majorBidi"/>
                <w:sz w:val="24"/>
                <w:szCs w:val="24"/>
                <w:lang w:val="ro-RO"/>
              </w:rPr>
              <w:t>Hidrocarburi aromatice policiclice</w:t>
            </w:r>
          </w:p>
        </w:tc>
        <w:tc>
          <w:tcPr>
            <w:tcW w:w="971"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 m/m</w:t>
            </w:r>
          </w:p>
        </w:tc>
        <w:tc>
          <w:tcPr>
            <w:tcW w:w="875"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8,0</w:t>
            </w:r>
          </w:p>
        </w:tc>
      </w:tr>
      <w:tr w:rsidR="009C16D1" w:rsidRPr="006A4A3A" w:rsidTr="00961315">
        <w:trPr>
          <w:trHeight w:val="345"/>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left"/>
              <w:rPr>
                <w:rFonts w:asciiTheme="majorBidi" w:hAnsiTheme="majorBidi" w:cstheme="majorBidi"/>
                <w:sz w:val="24"/>
                <w:szCs w:val="24"/>
                <w:lang w:val="ro-RO"/>
              </w:rPr>
            </w:pPr>
            <w:r w:rsidRPr="006A4A3A">
              <w:rPr>
                <w:rFonts w:asciiTheme="majorBidi" w:hAnsiTheme="majorBidi" w:cstheme="majorBidi"/>
                <w:sz w:val="24"/>
                <w:szCs w:val="24"/>
                <w:lang w:val="ro-RO"/>
              </w:rPr>
              <w:t>Conținutul de sulf</w:t>
            </w:r>
          </w:p>
        </w:tc>
        <w:tc>
          <w:tcPr>
            <w:tcW w:w="971"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mg/kg</w:t>
            </w:r>
          </w:p>
        </w:tc>
        <w:tc>
          <w:tcPr>
            <w:tcW w:w="875"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10,0</w:t>
            </w:r>
          </w:p>
        </w:tc>
      </w:tr>
      <w:tr w:rsidR="009C16D1" w:rsidRPr="006A4A3A" w:rsidTr="00961315">
        <w:trPr>
          <w:trHeight w:val="360"/>
          <w:jc w:val="right"/>
        </w:trPr>
        <w:tc>
          <w:tcPr>
            <w:tcW w:w="11" w:type="pct"/>
            <w:tcMar>
              <w:top w:w="0" w:type="dxa"/>
              <w:left w:w="0" w:type="dxa"/>
              <w:bottom w:w="0" w:type="dxa"/>
              <w:right w:w="0" w:type="dxa"/>
            </w:tcMar>
            <w:vAlign w:val="center"/>
            <w:hideMark/>
          </w:tcPr>
          <w:p w:rsidR="009C16D1" w:rsidRPr="006A4A3A" w:rsidRDefault="009C16D1" w:rsidP="00961315">
            <w:pPr>
              <w:keepNext/>
              <w:keepLines/>
              <w:outlineLvl w:val="0"/>
              <w:rPr>
                <w:rFonts w:asciiTheme="majorBidi" w:hAnsiTheme="majorBidi" w:cstheme="majorBidi"/>
                <w:sz w:val="24"/>
                <w:szCs w:val="24"/>
                <w:lang w:val="ro-RO"/>
              </w:rPr>
            </w:pPr>
          </w:p>
        </w:tc>
        <w:tc>
          <w:tcPr>
            <w:tcW w:w="2220" w:type="pc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9C16D1" w:rsidRPr="006A4A3A" w:rsidRDefault="009C16D1" w:rsidP="00961315">
            <w:pPr>
              <w:ind w:firstLine="0"/>
              <w:jc w:val="left"/>
              <w:rPr>
                <w:rFonts w:asciiTheme="majorBidi" w:hAnsiTheme="majorBidi" w:cstheme="majorBidi"/>
                <w:sz w:val="24"/>
                <w:szCs w:val="24"/>
                <w:lang w:val="ro-RO"/>
              </w:rPr>
            </w:pPr>
            <w:r w:rsidRPr="006A4A3A">
              <w:rPr>
                <w:rFonts w:asciiTheme="majorBidi" w:hAnsiTheme="majorBidi" w:cstheme="majorBidi"/>
                <w:sz w:val="24"/>
                <w:szCs w:val="24"/>
                <w:lang w:val="ro-RO"/>
              </w:rPr>
              <w:t>Conținutul EMAG</w:t>
            </w:r>
          </w:p>
        </w:tc>
        <w:tc>
          <w:tcPr>
            <w:tcW w:w="971"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 v/v</w:t>
            </w:r>
          </w:p>
        </w:tc>
        <w:tc>
          <w:tcPr>
            <w:tcW w:w="875"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w:t>
            </w:r>
          </w:p>
        </w:tc>
        <w:tc>
          <w:tcPr>
            <w:tcW w:w="923" w:type="pct"/>
            <w:tcBorders>
              <w:top w:val="single" w:sz="6" w:space="0" w:color="404040"/>
              <w:left w:val="single" w:sz="6" w:space="0" w:color="404040"/>
              <w:bottom w:val="single" w:sz="6" w:space="0" w:color="404040"/>
              <w:right w:val="single" w:sz="6" w:space="0" w:color="404040"/>
            </w:tcBorders>
            <w:tcMar>
              <w:top w:w="0" w:type="dxa"/>
              <w:left w:w="0" w:type="dxa"/>
              <w:bottom w:w="0" w:type="dxa"/>
              <w:right w:w="0" w:type="dxa"/>
            </w:tcMar>
            <w:vAlign w:val="center"/>
            <w:hideMark/>
          </w:tcPr>
          <w:p w:rsidR="009C16D1" w:rsidRPr="006A4A3A" w:rsidRDefault="009C16D1" w:rsidP="00961315">
            <w:pPr>
              <w:jc w:val="left"/>
              <w:rPr>
                <w:rFonts w:asciiTheme="majorBidi" w:hAnsiTheme="majorBidi" w:cstheme="majorBidi"/>
                <w:sz w:val="24"/>
                <w:szCs w:val="24"/>
                <w:lang w:val="ro-RO"/>
              </w:rPr>
            </w:pPr>
            <w:r w:rsidRPr="006A4A3A">
              <w:rPr>
                <w:rFonts w:asciiTheme="majorBidi" w:hAnsiTheme="majorBidi" w:cstheme="majorBidi"/>
                <w:sz w:val="24"/>
                <w:szCs w:val="24"/>
                <w:lang w:val="ro-RO"/>
              </w:rPr>
              <w:t>7,0</w:t>
            </w:r>
            <w:r w:rsidRPr="006A4A3A">
              <w:rPr>
                <w:rFonts w:asciiTheme="majorBidi" w:hAnsiTheme="majorBidi" w:cstheme="majorBidi"/>
                <w:sz w:val="24"/>
                <w:szCs w:val="24"/>
                <w:vertAlign w:val="superscript"/>
                <w:lang w:val="ro-RO"/>
              </w:rPr>
              <w:t>3</w:t>
            </w:r>
          </w:p>
        </w:tc>
      </w:tr>
    </w:tbl>
    <w:p w:rsidR="009C16D1" w:rsidRPr="006A4A3A" w:rsidRDefault="009C16D1" w:rsidP="009C16D1">
      <w:pPr>
        <w:ind w:firstLine="709"/>
        <w:rPr>
          <w:rFonts w:asciiTheme="majorBidi" w:hAnsiTheme="majorBidi" w:cstheme="majorBidi"/>
          <w:sz w:val="24"/>
          <w:szCs w:val="24"/>
          <w:lang w:val="ro-RO"/>
        </w:rPr>
      </w:pPr>
    </w:p>
    <w:p w:rsidR="009C16D1" w:rsidRPr="006A4A3A" w:rsidRDefault="009C16D1" w:rsidP="009C16D1">
      <w:pPr>
        <w:ind w:firstLine="709"/>
        <w:rPr>
          <w:rFonts w:asciiTheme="majorBidi" w:hAnsiTheme="majorBidi" w:cstheme="majorBidi"/>
          <w:sz w:val="22"/>
          <w:szCs w:val="22"/>
          <w:lang w:val="ro-RO"/>
        </w:rPr>
      </w:pPr>
      <w:r w:rsidRPr="006A4A3A">
        <w:rPr>
          <w:rFonts w:asciiTheme="majorBidi" w:hAnsiTheme="majorBidi" w:cstheme="majorBidi"/>
          <w:sz w:val="22"/>
          <w:szCs w:val="22"/>
          <w:lang w:val="ro-RO"/>
        </w:rPr>
        <w:t> </w:t>
      </w:r>
      <w:r w:rsidRPr="006A4A3A">
        <w:rPr>
          <w:rFonts w:asciiTheme="majorBidi" w:hAnsiTheme="majorBidi" w:cstheme="majorBidi"/>
          <w:sz w:val="22"/>
          <w:szCs w:val="22"/>
          <w:vertAlign w:val="superscript"/>
          <w:lang w:val="ro-RO"/>
        </w:rPr>
        <w:t>1)</w:t>
      </w:r>
      <w:r w:rsidRPr="006A4A3A">
        <w:rPr>
          <w:rFonts w:asciiTheme="majorBidi" w:hAnsiTheme="majorBidi" w:cstheme="majorBidi"/>
          <w:sz w:val="22"/>
          <w:szCs w:val="22"/>
          <w:lang w:val="ro-RO"/>
        </w:rPr>
        <w:t xml:space="preserve"> Metodele de încercare sînt cele specificate în standardul  SM  EN 590 „Carburanți pentru automobile. Motorină. Cerințe și metode de încercare”. </w:t>
      </w:r>
      <w:r w:rsidRPr="006A4A3A">
        <w:rPr>
          <w:rFonts w:asciiTheme="majorBidi" w:hAnsiTheme="majorBidi" w:cstheme="majorBidi"/>
          <w:color w:val="000000"/>
          <w:sz w:val="22"/>
          <w:szCs w:val="22"/>
          <w:lang w:val="ro-RO"/>
        </w:rPr>
        <w:t>Pot fi utilizate metode analitice de înlocuire a celor specificate în standardul SM EN 590, dacă se poate demonstra că acestea oferă cel puțin aceeași precizie ca metodele analitice pe care le înlocuiesc.</w:t>
      </w:r>
    </w:p>
    <w:p w:rsidR="009C16D1" w:rsidRPr="006A4A3A" w:rsidRDefault="009C16D1" w:rsidP="009C16D1">
      <w:pPr>
        <w:ind w:firstLine="709"/>
        <w:rPr>
          <w:rFonts w:asciiTheme="majorBidi" w:hAnsiTheme="majorBidi" w:cstheme="majorBidi"/>
          <w:sz w:val="22"/>
          <w:szCs w:val="22"/>
          <w:lang w:val="ro-RO"/>
        </w:rPr>
      </w:pPr>
      <w:r w:rsidRPr="006A4A3A">
        <w:rPr>
          <w:rFonts w:asciiTheme="majorBidi" w:hAnsiTheme="majorBidi" w:cstheme="majorBidi"/>
          <w:sz w:val="22"/>
          <w:szCs w:val="22"/>
          <w:lang w:val="ro-RO"/>
        </w:rPr>
        <w:t> </w:t>
      </w:r>
      <w:r w:rsidRPr="006A4A3A">
        <w:rPr>
          <w:rFonts w:asciiTheme="majorBidi" w:hAnsiTheme="majorBidi" w:cstheme="majorBidi"/>
          <w:sz w:val="22"/>
          <w:szCs w:val="22"/>
          <w:vertAlign w:val="superscript"/>
          <w:lang w:val="ro-RO"/>
        </w:rPr>
        <w:t>2)</w:t>
      </w:r>
      <w:r w:rsidRPr="006A4A3A">
        <w:rPr>
          <w:rFonts w:asciiTheme="majorBidi" w:hAnsiTheme="majorBidi" w:cstheme="majorBidi"/>
          <w:sz w:val="22"/>
          <w:szCs w:val="22"/>
          <w:lang w:val="ro-RO"/>
        </w:rPr>
        <w:t> Valorile menționate în specificație sînt „valori reale”. La stabilirea valorilor lor limită au fost aplicați termenii standardului SM EN ISO 4259 „Petrol și produse înrudite. Fidelitatea metodelor de măsurare și a rezultatelor” și a fost fixată o valoare minimă, fiind luată în considerare o diferență minimă de 2R peste zero (R = reproductibilitatea). Rezultatele măsurărilor individuale vor fi interpretate pe baza criteriilor descrise în standardul SM  EN  ISO 4259.</w:t>
      </w:r>
    </w:p>
    <w:p w:rsidR="009C16D1" w:rsidRPr="006A4A3A" w:rsidRDefault="009C16D1" w:rsidP="009C16D1">
      <w:pPr>
        <w:ind w:firstLine="709"/>
        <w:rPr>
          <w:rFonts w:asciiTheme="majorBidi" w:hAnsiTheme="majorBidi" w:cstheme="majorBidi"/>
          <w:sz w:val="22"/>
          <w:szCs w:val="22"/>
          <w:lang w:val="ro-RO"/>
        </w:rPr>
      </w:pPr>
      <w:r w:rsidRPr="006A4A3A">
        <w:rPr>
          <w:rFonts w:asciiTheme="majorBidi" w:hAnsiTheme="majorBidi" w:cstheme="majorBidi"/>
          <w:sz w:val="22"/>
          <w:szCs w:val="22"/>
          <w:lang w:val="ro-RO"/>
        </w:rPr>
        <w:t> </w:t>
      </w:r>
      <w:r w:rsidRPr="006A4A3A">
        <w:rPr>
          <w:rFonts w:asciiTheme="majorBidi" w:hAnsiTheme="majorBidi" w:cstheme="majorBidi"/>
          <w:sz w:val="22"/>
          <w:szCs w:val="22"/>
          <w:vertAlign w:val="superscript"/>
          <w:lang w:val="ro-RO"/>
        </w:rPr>
        <w:t>3)</w:t>
      </w:r>
      <w:r w:rsidRPr="006A4A3A">
        <w:rPr>
          <w:rFonts w:asciiTheme="majorBidi" w:hAnsiTheme="majorBidi" w:cstheme="majorBidi"/>
          <w:sz w:val="22"/>
          <w:szCs w:val="22"/>
          <w:lang w:val="ro-RO"/>
        </w:rPr>
        <w:t> EMAG (conținutul de biocarburanți, în special conținutul de esteri metilici ai acizilor grași) respectă cele menționate în standardul SM EN 14214 „Produse petroliere lichide. Esteri metilici ai acizilor grași (EMAG) utilizați pentru motoare diesel și pentru încălzire. Cerințe și metode de încercare”.</w:t>
      </w:r>
    </w:p>
    <w:p w:rsidR="0073232F" w:rsidRDefault="0073232F"/>
    <w:sectPr w:rsidR="0073232F"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D1"/>
    <w:rsid w:val="00035534"/>
    <w:rsid w:val="0044327B"/>
    <w:rsid w:val="0073232F"/>
    <w:rsid w:val="009C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D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6D1"/>
    <w:pPr>
      <w:ind w:firstLine="567"/>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6D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6D1"/>
    <w:pPr>
      <w:ind w:firstLine="567"/>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2019-03-05T07:55:00Z</dcterms:created>
  <dcterms:modified xsi:type="dcterms:W3CDTF">2019-03-05T07:56:00Z</dcterms:modified>
</cp:coreProperties>
</file>